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760"/>
          <w:tab w:val="left" w:pos="6300"/>
        </w:tabs>
        <w:snapToGrid w:val="0"/>
        <w:spacing w:line="300" w:lineRule="auto"/>
        <w:jc w:val="left"/>
        <w:rPr>
          <w:rFonts w:hint="eastAsia" w:hAnsi="宋体" w:cs="宋体"/>
          <w:color w:val="auto"/>
          <w:sz w:val="44"/>
          <w:szCs w:val="44"/>
          <w:highlight w:val="none"/>
        </w:rPr>
      </w:pPr>
      <w:r>
        <w:rPr>
          <w:rFonts w:hint="eastAsia" w:hAnsi="宋体"/>
          <w:color w:val="auto"/>
          <w:sz w:val="44"/>
          <w:szCs w:val="44"/>
          <w:highlight w:val="none"/>
        </w:rPr>
        <w:t xml:space="preserve">   </w:t>
      </w:r>
    </w:p>
    <w:p>
      <w:pPr>
        <w:spacing w:line="580" w:lineRule="exact"/>
        <w:jc w:val="center"/>
        <w:rPr>
          <w:rFonts w:hint="eastAsia" w:ascii="宋体" w:hAnsi="宋体" w:cs="宋体"/>
          <w:b/>
          <w:bCs/>
          <w:color w:val="auto"/>
          <w:sz w:val="44"/>
          <w:szCs w:val="44"/>
          <w:highlight w:val="none"/>
        </w:rPr>
      </w:pPr>
      <w:bookmarkStart w:id="0" w:name="OLE_LINK1"/>
      <w:bookmarkStart w:id="1" w:name="OLE_LINK20"/>
      <w:bookmarkStart w:id="2" w:name="OLE_LINK19"/>
      <w:r>
        <w:rPr>
          <w:rFonts w:hint="eastAsia" w:ascii="宋体" w:hAnsi="宋体" w:cs="宋体"/>
          <w:b/>
          <w:bCs/>
          <w:color w:val="auto"/>
          <w:sz w:val="44"/>
          <w:szCs w:val="44"/>
          <w:highlight w:val="none"/>
        </w:rPr>
        <w:t>南通市海洋发展局</w:t>
      </w:r>
      <w:r>
        <w:rPr>
          <w:rFonts w:ascii="宋体" w:hAnsi="宋体" w:cs="宋体"/>
          <w:b/>
          <w:bCs/>
          <w:color w:val="auto"/>
          <w:sz w:val="44"/>
          <w:szCs w:val="44"/>
          <w:highlight w:val="none"/>
        </w:rPr>
        <w:t>2025</w:t>
      </w:r>
      <w:r>
        <w:rPr>
          <w:rFonts w:hint="eastAsia" w:ascii="宋体" w:hAnsi="宋体" w:cs="宋体"/>
          <w:b/>
          <w:bCs/>
          <w:color w:val="auto"/>
          <w:sz w:val="44"/>
          <w:szCs w:val="44"/>
          <w:highlight w:val="none"/>
        </w:rPr>
        <w:t>中国海洋经济博览会参展项目</w:t>
      </w:r>
      <w:bookmarkEnd w:id="0"/>
    </w:p>
    <w:bookmarkEnd w:id="1"/>
    <w:bookmarkEnd w:id="2"/>
    <w:p>
      <w:pPr>
        <w:spacing w:line="1160" w:lineRule="exact"/>
        <w:jc w:val="center"/>
        <w:rPr>
          <w:rFonts w:hint="eastAsia" w:ascii="宋体" w:hAnsi="宋体" w:cs="宋体"/>
          <w:b/>
          <w:bCs/>
          <w:color w:val="auto"/>
          <w:sz w:val="44"/>
          <w:szCs w:val="44"/>
          <w:highlight w:val="none"/>
        </w:rPr>
      </w:pPr>
    </w:p>
    <w:p>
      <w:pPr>
        <w:pStyle w:val="2"/>
        <w:rPr>
          <w:color w:val="auto"/>
          <w:highlight w:val="none"/>
        </w:rPr>
      </w:pPr>
    </w:p>
    <w:p>
      <w:pPr>
        <w:spacing w:line="1400" w:lineRule="exact"/>
        <w:jc w:val="center"/>
        <w:rPr>
          <w:rFonts w:hint="eastAsia" w:hAnsi="宋体"/>
          <w:b/>
          <w:color w:val="auto"/>
          <w:sz w:val="72"/>
          <w:szCs w:val="72"/>
          <w:highlight w:val="none"/>
        </w:rPr>
      </w:pPr>
    </w:p>
    <w:p>
      <w:pPr>
        <w:spacing w:line="1400" w:lineRule="exact"/>
        <w:jc w:val="center"/>
        <w:rPr>
          <w:rFonts w:hint="eastAsia" w:hAnsi="宋体"/>
          <w:b/>
          <w:color w:val="auto"/>
          <w:sz w:val="72"/>
          <w:szCs w:val="72"/>
          <w:highlight w:val="none"/>
        </w:rPr>
      </w:pPr>
      <w:r>
        <w:rPr>
          <w:rFonts w:hAnsi="宋体"/>
          <w:b/>
          <w:color w:val="auto"/>
          <w:sz w:val="72"/>
          <w:szCs w:val="72"/>
          <w:highlight w:val="none"/>
        </w:rPr>
        <w:t>竞争性磋商文件</w:t>
      </w:r>
    </w:p>
    <w:p>
      <w:pPr>
        <w:spacing w:line="720" w:lineRule="auto"/>
        <w:jc w:val="center"/>
        <w:rPr>
          <w:rFonts w:hint="eastAsia" w:hAnsi="宋体"/>
          <w:b/>
          <w:color w:val="auto"/>
          <w:sz w:val="44"/>
          <w:szCs w:val="44"/>
          <w:highlight w:val="none"/>
        </w:rPr>
      </w:pPr>
      <w:r>
        <w:rPr>
          <w:rFonts w:hint="eastAsia" w:hAnsi="宋体"/>
          <w:b/>
          <w:color w:val="auto"/>
          <w:sz w:val="44"/>
          <w:szCs w:val="44"/>
          <w:highlight w:val="none"/>
        </w:rPr>
        <w:t>（资格后审）</w:t>
      </w:r>
    </w:p>
    <w:p>
      <w:pPr>
        <w:snapToGrid w:val="0"/>
        <w:spacing w:line="360" w:lineRule="auto"/>
        <w:jc w:val="center"/>
        <w:rPr>
          <w:rFonts w:hint="eastAsia" w:hAnsi="宋体"/>
          <w:b/>
          <w:color w:val="auto"/>
          <w:sz w:val="36"/>
          <w:highlight w:val="none"/>
        </w:rPr>
      </w:pPr>
    </w:p>
    <w:p>
      <w:pPr>
        <w:snapToGrid w:val="0"/>
        <w:spacing w:line="360" w:lineRule="auto"/>
        <w:rPr>
          <w:rFonts w:hint="eastAsia" w:hAnsi="宋体"/>
          <w:b/>
          <w:color w:val="auto"/>
          <w:sz w:val="36"/>
          <w:highlight w:val="none"/>
        </w:rPr>
      </w:pPr>
    </w:p>
    <w:p>
      <w:pPr>
        <w:snapToGrid w:val="0"/>
        <w:spacing w:line="360" w:lineRule="auto"/>
        <w:jc w:val="center"/>
        <w:rPr>
          <w:rFonts w:hint="eastAsia" w:hAnsi="宋体"/>
          <w:b/>
          <w:color w:val="auto"/>
          <w:sz w:val="36"/>
          <w:highlight w:val="none"/>
        </w:rPr>
      </w:pPr>
    </w:p>
    <w:p>
      <w:pPr>
        <w:snapToGrid w:val="0"/>
        <w:spacing w:line="360" w:lineRule="auto"/>
        <w:jc w:val="center"/>
        <w:rPr>
          <w:rFonts w:hint="eastAsia" w:hAnsi="宋体"/>
          <w:b/>
          <w:color w:val="auto"/>
          <w:sz w:val="36"/>
          <w:highlight w:val="none"/>
        </w:rPr>
      </w:pPr>
    </w:p>
    <w:p>
      <w:pPr>
        <w:adjustRightInd w:val="0"/>
        <w:snapToGrid w:val="0"/>
        <w:spacing w:line="360" w:lineRule="auto"/>
        <w:ind w:firstLine="1500" w:firstLineChars="500"/>
        <w:rPr>
          <w:rFonts w:hint="eastAsia" w:hAnsi="宋体" w:cs="宋体"/>
          <w:b/>
          <w:color w:val="auto"/>
          <w:sz w:val="30"/>
          <w:szCs w:val="30"/>
          <w:highlight w:val="none"/>
        </w:rPr>
      </w:pPr>
      <w:r>
        <w:rPr>
          <w:rFonts w:hint="eastAsia" w:hAnsi="宋体" w:cs="宋体"/>
          <w:b/>
          <w:color w:val="auto"/>
          <w:sz w:val="30"/>
          <w:szCs w:val="30"/>
          <w:highlight w:val="none"/>
        </w:rPr>
        <w:t>采购单位：南通市海洋发展局</w:t>
      </w:r>
    </w:p>
    <w:p>
      <w:pPr>
        <w:adjustRightInd w:val="0"/>
        <w:snapToGrid w:val="0"/>
        <w:spacing w:line="360" w:lineRule="auto"/>
        <w:ind w:firstLine="1500" w:firstLineChars="500"/>
        <w:rPr>
          <w:rFonts w:hint="eastAsia" w:hAnsi="宋体" w:cs="宋体"/>
          <w:b/>
          <w:color w:val="auto"/>
          <w:sz w:val="30"/>
          <w:szCs w:val="30"/>
          <w:highlight w:val="none"/>
        </w:rPr>
      </w:pPr>
      <w:r>
        <w:rPr>
          <w:rFonts w:hint="eastAsia" w:hAnsi="宋体" w:cs="宋体"/>
          <w:b/>
          <w:color w:val="auto"/>
          <w:sz w:val="30"/>
          <w:szCs w:val="30"/>
          <w:highlight w:val="none"/>
        </w:rPr>
        <w:t>代理机构：江苏正扬招标代理有限公司</w:t>
      </w:r>
    </w:p>
    <w:p>
      <w:pPr>
        <w:adjustRightInd w:val="0"/>
        <w:snapToGrid w:val="0"/>
        <w:spacing w:line="360" w:lineRule="auto"/>
        <w:jc w:val="center"/>
        <w:rPr>
          <w:rFonts w:hint="eastAsia" w:hAnsi="宋体" w:cs="宋体"/>
          <w:b/>
          <w:color w:val="auto"/>
          <w:sz w:val="30"/>
          <w:szCs w:val="30"/>
          <w:highlight w:val="none"/>
        </w:rPr>
      </w:pPr>
    </w:p>
    <w:p>
      <w:pPr>
        <w:adjustRightInd w:val="0"/>
        <w:snapToGrid w:val="0"/>
        <w:spacing w:line="360" w:lineRule="auto"/>
        <w:jc w:val="center"/>
        <w:rPr>
          <w:rFonts w:hint="eastAsia" w:hAnsi="宋体"/>
          <w:b/>
          <w:color w:val="auto"/>
          <w:sz w:val="30"/>
          <w:szCs w:val="30"/>
          <w:highlight w:val="none"/>
        </w:rPr>
      </w:pPr>
      <w:r>
        <w:rPr>
          <w:rFonts w:hint="eastAsia" w:hAnsi="宋体" w:cs="宋体"/>
          <w:b/>
          <w:color w:val="auto"/>
          <w:sz w:val="30"/>
          <w:szCs w:val="30"/>
          <w:highlight w:val="none"/>
        </w:rPr>
        <w:t>2025年9月</w:t>
      </w:r>
    </w:p>
    <w:p>
      <w:pPr>
        <w:jc w:val="center"/>
        <w:rPr>
          <w:rFonts w:hint="eastAsia" w:hAnsi="宋体" w:cs="宋体"/>
          <w:b/>
          <w:color w:val="auto"/>
          <w:sz w:val="44"/>
          <w:szCs w:val="44"/>
          <w:highlight w:val="none"/>
        </w:rPr>
      </w:pPr>
      <w:r>
        <w:rPr>
          <w:rFonts w:hAnsi="宋体" w:cs="宋体"/>
          <w:b/>
          <w:color w:val="auto"/>
          <w:sz w:val="44"/>
          <w:szCs w:val="44"/>
          <w:highlight w:val="none"/>
        </w:rPr>
        <w:br w:type="page"/>
      </w:r>
      <w:r>
        <w:rPr>
          <w:rFonts w:hint="eastAsia" w:hAnsi="宋体" w:cs="宋体"/>
          <w:b/>
          <w:color w:val="auto"/>
          <w:sz w:val="44"/>
          <w:szCs w:val="44"/>
          <w:highlight w:val="none"/>
        </w:rPr>
        <w:t>竞争性磋商文件备案表</w:t>
      </w:r>
    </w:p>
    <w:p>
      <w:pPr>
        <w:jc w:val="center"/>
        <w:rPr>
          <w:rFonts w:hint="eastAsia" w:hAnsi="宋体" w:cs="宋体"/>
          <w:b/>
          <w:color w:val="auto"/>
          <w:sz w:val="44"/>
          <w:szCs w:val="44"/>
          <w:highlight w:val="none"/>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8" w:hRule="atLeast"/>
          <w:jc w:val="center"/>
        </w:trPr>
        <w:tc>
          <w:tcPr>
            <w:tcW w:w="9180" w:type="dxa"/>
          </w:tcPr>
          <w:p>
            <w:pPr>
              <w:spacing w:line="360" w:lineRule="auto"/>
              <w:jc w:val="center"/>
              <w:rPr>
                <w:rFonts w:hint="eastAsia" w:hAnsi="宋体" w:cs="宋体"/>
                <w:color w:val="auto"/>
                <w:position w:val="-48"/>
                <w:sz w:val="25"/>
                <w:highlight w:val="none"/>
              </w:rPr>
            </w:pPr>
          </w:p>
          <w:p>
            <w:pPr>
              <w:spacing w:line="360" w:lineRule="auto"/>
              <w:jc w:val="center"/>
              <w:rPr>
                <w:rFonts w:hint="eastAsia" w:hAnsi="宋体" w:cs="宋体"/>
                <w:color w:val="auto"/>
                <w:position w:val="-48"/>
                <w:sz w:val="25"/>
                <w:highlight w:val="none"/>
              </w:rPr>
            </w:pPr>
          </w:p>
          <w:p>
            <w:pPr>
              <w:spacing w:line="360" w:lineRule="auto"/>
              <w:ind w:firstLine="3000" w:firstLineChars="1200"/>
              <w:rPr>
                <w:rFonts w:hint="eastAsia" w:hAnsi="宋体" w:cs="宋体"/>
                <w:color w:val="auto"/>
                <w:position w:val="-48"/>
                <w:sz w:val="25"/>
                <w:highlight w:val="none"/>
              </w:rPr>
            </w:pPr>
            <w:r>
              <w:rPr>
                <w:rFonts w:hint="eastAsia" w:hAnsi="宋体" w:cs="宋体"/>
                <w:color w:val="auto"/>
                <w:position w:val="-48"/>
                <w:sz w:val="25"/>
                <w:highlight w:val="none"/>
              </w:rPr>
              <w:t xml:space="preserve">编制人：李艳梅 </w:t>
            </w:r>
          </w:p>
          <w:p>
            <w:pPr>
              <w:tabs>
                <w:tab w:val="left" w:pos="3492"/>
              </w:tabs>
              <w:spacing w:line="360" w:lineRule="auto"/>
              <w:ind w:firstLine="3000" w:firstLineChars="1200"/>
              <w:rPr>
                <w:rFonts w:hint="eastAsia" w:hAnsi="宋体" w:cs="宋体"/>
                <w:color w:val="auto"/>
                <w:position w:val="-48"/>
                <w:sz w:val="25"/>
                <w:highlight w:val="none"/>
              </w:rPr>
            </w:pPr>
            <w:r>
              <w:rPr>
                <w:rFonts w:hint="eastAsia" w:hAnsi="宋体" w:cs="宋体"/>
                <w:color w:val="auto"/>
                <w:position w:val="-48"/>
                <w:sz w:val="25"/>
                <w:highlight w:val="none"/>
              </w:rPr>
              <w:t>日  期：2025年9月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5" w:hRule="atLeast"/>
          <w:jc w:val="center"/>
        </w:trPr>
        <w:tc>
          <w:tcPr>
            <w:tcW w:w="9180" w:type="dxa"/>
          </w:tcPr>
          <w:p>
            <w:pPr>
              <w:spacing w:line="360" w:lineRule="auto"/>
              <w:rPr>
                <w:rFonts w:hint="eastAsia" w:hAnsi="宋体" w:cs="宋体"/>
                <w:color w:val="auto"/>
                <w:position w:val="-48"/>
                <w:sz w:val="25"/>
                <w:highlight w:val="none"/>
              </w:rPr>
            </w:pPr>
          </w:p>
          <w:p>
            <w:pPr>
              <w:spacing w:line="360" w:lineRule="auto"/>
              <w:ind w:firstLine="625" w:firstLineChars="250"/>
              <w:jc w:val="center"/>
              <w:rPr>
                <w:rFonts w:hint="eastAsia" w:hAnsi="宋体" w:cs="宋体"/>
                <w:color w:val="auto"/>
                <w:position w:val="-48"/>
                <w:sz w:val="25"/>
                <w:highlight w:val="none"/>
              </w:rPr>
            </w:pPr>
          </w:p>
          <w:p>
            <w:pPr>
              <w:spacing w:line="360" w:lineRule="auto"/>
              <w:ind w:firstLine="625" w:firstLineChars="250"/>
              <w:jc w:val="center"/>
              <w:rPr>
                <w:rFonts w:hint="eastAsia" w:hAnsi="宋体" w:cs="宋体"/>
                <w:color w:val="auto"/>
                <w:position w:val="-48"/>
                <w:sz w:val="25"/>
                <w:highlight w:val="none"/>
              </w:rPr>
            </w:pPr>
          </w:p>
          <w:p>
            <w:pPr>
              <w:spacing w:line="360" w:lineRule="auto"/>
              <w:jc w:val="center"/>
              <w:rPr>
                <w:rFonts w:hint="eastAsia" w:hAnsi="宋体" w:cs="宋体"/>
                <w:color w:val="auto"/>
                <w:position w:val="-48"/>
                <w:sz w:val="25"/>
                <w:highlight w:val="none"/>
              </w:rPr>
            </w:pPr>
            <w:r>
              <w:rPr>
                <w:rFonts w:hint="eastAsia" w:hAnsi="宋体" w:cs="宋体"/>
                <w:color w:val="auto"/>
                <w:position w:val="-48"/>
                <w:sz w:val="25"/>
                <w:highlight w:val="none"/>
              </w:rPr>
              <w:t>采购单位（盖章）</w:t>
            </w:r>
          </w:p>
          <w:p>
            <w:pPr>
              <w:spacing w:line="360" w:lineRule="auto"/>
              <w:rPr>
                <w:rFonts w:hint="eastAsia" w:hAnsi="宋体" w:cs="宋体"/>
                <w:color w:val="auto"/>
                <w:position w:val="-48"/>
                <w:sz w:val="25"/>
                <w:highlight w:val="none"/>
              </w:rPr>
            </w:pPr>
          </w:p>
          <w:p>
            <w:pPr>
              <w:spacing w:line="360" w:lineRule="auto"/>
              <w:jc w:val="center"/>
              <w:rPr>
                <w:rFonts w:hint="eastAsia" w:hAnsi="宋体" w:cs="宋体"/>
                <w:color w:val="auto"/>
                <w:position w:val="-48"/>
                <w:sz w:val="25"/>
                <w:highlight w:val="none"/>
              </w:rPr>
            </w:pPr>
            <w:r>
              <w:rPr>
                <w:rFonts w:hint="eastAsia" w:hAnsi="宋体" w:cs="宋体"/>
                <w:color w:val="auto"/>
                <w:position w:val="-48"/>
                <w:sz w:val="25"/>
                <w:highlight w:val="none"/>
              </w:rPr>
              <w:t>代理机构（盖章）</w:t>
            </w:r>
          </w:p>
          <w:p>
            <w:pPr>
              <w:spacing w:line="360" w:lineRule="auto"/>
              <w:rPr>
                <w:rFonts w:hint="eastAsia" w:hAnsi="宋体" w:cs="宋体"/>
                <w:color w:val="auto"/>
                <w:position w:val="-48"/>
                <w:sz w:val="25"/>
                <w:highlight w:val="none"/>
              </w:rPr>
            </w:pPr>
          </w:p>
          <w:p>
            <w:pPr>
              <w:spacing w:line="360" w:lineRule="auto"/>
              <w:jc w:val="center"/>
              <w:rPr>
                <w:rFonts w:hint="eastAsia" w:hAnsi="宋体" w:cs="宋体"/>
                <w:color w:val="auto"/>
                <w:position w:val="-48"/>
                <w:sz w:val="25"/>
                <w:highlight w:val="none"/>
              </w:rPr>
            </w:pPr>
            <w:r>
              <w:rPr>
                <w:rFonts w:hint="eastAsia" w:hAnsi="宋体" w:cs="宋体"/>
                <w:color w:val="auto"/>
                <w:position w:val="-48"/>
                <w:sz w:val="25"/>
                <w:highlight w:val="none"/>
              </w:rPr>
              <w:t>日  期：2025年9月</w:t>
            </w:r>
          </w:p>
        </w:tc>
      </w:tr>
    </w:tbl>
    <w:p>
      <w:pPr>
        <w:pStyle w:val="8"/>
        <w:overflowPunct w:val="0"/>
        <w:ind w:firstLine="0"/>
        <w:rPr>
          <w:rFonts w:hint="eastAsia" w:hAnsi="宋体" w:eastAsia="宋体"/>
          <w:b/>
          <w:color w:val="auto"/>
          <w:sz w:val="44"/>
          <w:szCs w:val="44"/>
          <w:highlight w:val="none"/>
        </w:rPr>
      </w:pPr>
    </w:p>
    <w:p>
      <w:pPr>
        <w:pStyle w:val="8"/>
        <w:overflowPunct w:val="0"/>
        <w:ind w:firstLine="0"/>
        <w:jc w:val="center"/>
        <w:rPr>
          <w:rFonts w:hint="eastAsia" w:hAnsi="宋体" w:eastAsia="宋体"/>
          <w:b/>
          <w:color w:val="auto"/>
          <w:sz w:val="44"/>
          <w:szCs w:val="44"/>
          <w:highlight w:val="none"/>
        </w:rPr>
      </w:pPr>
    </w:p>
    <w:p>
      <w:pPr>
        <w:pStyle w:val="8"/>
        <w:overflowPunct w:val="0"/>
        <w:ind w:firstLine="0"/>
        <w:jc w:val="center"/>
        <w:rPr>
          <w:rFonts w:hint="eastAsia" w:hAnsi="宋体" w:eastAsia="宋体"/>
          <w:b/>
          <w:color w:val="auto"/>
          <w:sz w:val="44"/>
          <w:szCs w:val="44"/>
          <w:highlight w:val="none"/>
        </w:rPr>
      </w:pPr>
    </w:p>
    <w:p>
      <w:pPr>
        <w:pStyle w:val="8"/>
        <w:overflowPunct w:val="0"/>
        <w:ind w:firstLine="0"/>
        <w:jc w:val="center"/>
        <w:rPr>
          <w:rFonts w:hint="eastAsia" w:hAnsi="宋体" w:eastAsia="宋体"/>
          <w:b/>
          <w:color w:val="auto"/>
          <w:sz w:val="44"/>
          <w:szCs w:val="44"/>
          <w:highlight w:val="none"/>
        </w:rPr>
      </w:pPr>
      <w:r>
        <w:rPr>
          <w:rFonts w:hAnsi="宋体" w:eastAsia="宋体"/>
          <w:b/>
          <w:color w:val="auto"/>
          <w:sz w:val="44"/>
          <w:szCs w:val="44"/>
          <w:highlight w:val="none"/>
        </w:rPr>
        <w:br w:type="page"/>
      </w:r>
      <w:r>
        <w:rPr>
          <w:rFonts w:hint="eastAsia" w:hAnsi="宋体" w:eastAsia="宋体"/>
          <w:b/>
          <w:color w:val="auto"/>
          <w:sz w:val="44"/>
          <w:szCs w:val="44"/>
          <w:highlight w:val="none"/>
        </w:rPr>
        <w:t>目  录</w:t>
      </w:r>
    </w:p>
    <w:p>
      <w:pPr>
        <w:pStyle w:val="8"/>
        <w:overflowPunct w:val="0"/>
        <w:ind w:firstLine="0"/>
        <w:jc w:val="center"/>
        <w:rPr>
          <w:rFonts w:hint="eastAsia" w:hAnsi="宋体" w:eastAsia="宋体"/>
          <w:color w:val="auto"/>
          <w:sz w:val="30"/>
          <w:highlight w:val="none"/>
        </w:rPr>
      </w:pPr>
    </w:p>
    <w:p>
      <w:pPr>
        <w:pStyle w:val="18"/>
        <w:tabs>
          <w:tab w:val="right" w:leader="dot" w:pos="9528"/>
        </w:tabs>
        <w:spacing w:line="1200" w:lineRule="exact"/>
        <w:rPr>
          <w:rFonts w:hint="eastAsia" w:hAnsi="宋体" w:eastAsia="宋体"/>
          <w:color w:val="auto"/>
          <w:sz w:val="32"/>
          <w:szCs w:val="32"/>
          <w:highlight w:val="none"/>
        </w:rPr>
      </w:pPr>
      <w:r>
        <w:rPr>
          <w:rFonts w:hAnsi="宋体" w:eastAsia="宋体"/>
          <w:b/>
          <w:bCs/>
          <w:color w:val="auto"/>
          <w:sz w:val="36"/>
          <w:szCs w:val="36"/>
          <w:highlight w:val="none"/>
        </w:rPr>
        <w:fldChar w:fldCharType="begin"/>
      </w:r>
      <w:r>
        <w:rPr>
          <w:rFonts w:hAnsi="宋体" w:eastAsia="宋体"/>
          <w:b/>
          <w:bCs/>
          <w:color w:val="auto"/>
          <w:sz w:val="36"/>
          <w:szCs w:val="36"/>
          <w:highlight w:val="none"/>
        </w:rPr>
        <w:instrText xml:space="preserve"> TOC \o "1-1" </w:instrText>
      </w:r>
      <w:r>
        <w:rPr>
          <w:rFonts w:hAnsi="宋体" w:eastAsia="宋体"/>
          <w:b/>
          <w:bCs/>
          <w:color w:val="auto"/>
          <w:sz w:val="36"/>
          <w:szCs w:val="36"/>
          <w:highlight w:val="none"/>
        </w:rPr>
        <w:fldChar w:fldCharType="separate"/>
      </w:r>
      <w:r>
        <w:rPr>
          <w:rFonts w:hAnsi="宋体" w:eastAsia="宋体"/>
          <w:color w:val="auto"/>
          <w:sz w:val="32"/>
          <w:szCs w:val="32"/>
          <w:highlight w:val="none"/>
        </w:rPr>
        <w:t xml:space="preserve">第一章 </w:t>
      </w:r>
      <w:r>
        <w:rPr>
          <w:rFonts w:hint="eastAsia" w:hAnsi="宋体" w:eastAsia="宋体"/>
          <w:color w:val="auto"/>
          <w:sz w:val="32"/>
          <w:szCs w:val="32"/>
          <w:highlight w:val="none"/>
        </w:rPr>
        <w:t>竞争性磋商公告</w:t>
      </w:r>
    </w:p>
    <w:p>
      <w:pPr>
        <w:pStyle w:val="18"/>
        <w:tabs>
          <w:tab w:val="right" w:leader="dot" w:pos="9528"/>
        </w:tabs>
        <w:spacing w:line="1200" w:lineRule="exact"/>
        <w:rPr>
          <w:rFonts w:hint="eastAsia" w:hAnsi="宋体" w:eastAsia="宋体"/>
          <w:color w:val="auto"/>
          <w:sz w:val="32"/>
          <w:szCs w:val="32"/>
          <w:highlight w:val="none"/>
        </w:rPr>
      </w:pPr>
      <w:r>
        <w:rPr>
          <w:rFonts w:hAnsi="宋体" w:eastAsia="宋体"/>
          <w:color w:val="auto"/>
          <w:sz w:val="32"/>
          <w:szCs w:val="32"/>
          <w:highlight w:val="none"/>
        </w:rPr>
        <w:t xml:space="preserve">第二章 </w:t>
      </w:r>
      <w:r>
        <w:rPr>
          <w:rFonts w:hint="eastAsia" w:hAnsi="宋体" w:eastAsia="宋体"/>
          <w:color w:val="auto"/>
          <w:sz w:val="32"/>
          <w:szCs w:val="32"/>
          <w:highlight w:val="none"/>
        </w:rPr>
        <w:t>供应商</w:t>
      </w:r>
      <w:r>
        <w:rPr>
          <w:rFonts w:hAnsi="宋体" w:eastAsia="宋体"/>
          <w:color w:val="auto"/>
          <w:sz w:val="32"/>
          <w:szCs w:val="32"/>
          <w:highlight w:val="none"/>
        </w:rPr>
        <w:t>须知</w:t>
      </w:r>
    </w:p>
    <w:p>
      <w:pPr>
        <w:pStyle w:val="18"/>
        <w:tabs>
          <w:tab w:val="right" w:leader="dot" w:pos="9528"/>
        </w:tabs>
        <w:spacing w:line="1200" w:lineRule="exact"/>
        <w:rPr>
          <w:rFonts w:hint="eastAsia" w:hAnsi="宋体" w:eastAsia="宋体"/>
          <w:color w:val="auto"/>
          <w:sz w:val="32"/>
          <w:szCs w:val="32"/>
          <w:highlight w:val="none"/>
        </w:rPr>
      </w:pPr>
      <w:r>
        <w:rPr>
          <w:rFonts w:hAnsi="宋体" w:eastAsia="宋体"/>
          <w:color w:val="auto"/>
          <w:sz w:val="32"/>
          <w:szCs w:val="32"/>
          <w:highlight w:val="none"/>
        </w:rPr>
        <w:t>第三章 项目需求</w:t>
      </w:r>
    </w:p>
    <w:p>
      <w:pPr>
        <w:pStyle w:val="18"/>
        <w:tabs>
          <w:tab w:val="right" w:leader="dot" w:pos="9528"/>
        </w:tabs>
        <w:spacing w:line="1200" w:lineRule="exact"/>
        <w:rPr>
          <w:rFonts w:hint="eastAsia" w:hAnsi="宋体" w:eastAsia="宋体"/>
          <w:color w:val="auto"/>
          <w:sz w:val="32"/>
          <w:szCs w:val="32"/>
          <w:highlight w:val="none"/>
        </w:rPr>
      </w:pPr>
      <w:r>
        <w:rPr>
          <w:rFonts w:hAnsi="宋体" w:eastAsia="宋体"/>
          <w:color w:val="auto"/>
          <w:sz w:val="32"/>
          <w:szCs w:val="32"/>
          <w:highlight w:val="none"/>
        </w:rPr>
        <w:t>第</w:t>
      </w:r>
      <w:r>
        <w:rPr>
          <w:rFonts w:hint="eastAsia" w:hAnsi="宋体" w:eastAsia="宋体"/>
          <w:color w:val="auto"/>
          <w:sz w:val="32"/>
          <w:szCs w:val="32"/>
          <w:highlight w:val="none"/>
        </w:rPr>
        <w:t>四</w:t>
      </w:r>
      <w:r>
        <w:rPr>
          <w:rFonts w:hAnsi="宋体" w:eastAsia="宋体"/>
          <w:color w:val="auto"/>
          <w:sz w:val="32"/>
          <w:szCs w:val="32"/>
          <w:highlight w:val="none"/>
        </w:rPr>
        <w:t xml:space="preserve">章 </w:t>
      </w:r>
      <w:r>
        <w:rPr>
          <w:rFonts w:hint="eastAsia" w:hAnsi="宋体" w:eastAsia="宋体"/>
          <w:color w:val="auto"/>
          <w:sz w:val="32"/>
          <w:szCs w:val="32"/>
          <w:highlight w:val="none"/>
        </w:rPr>
        <w:t>评审方法和程序</w:t>
      </w:r>
    </w:p>
    <w:p>
      <w:pPr>
        <w:pStyle w:val="18"/>
        <w:tabs>
          <w:tab w:val="right" w:leader="dot" w:pos="9528"/>
        </w:tabs>
        <w:spacing w:line="1200" w:lineRule="exact"/>
        <w:rPr>
          <w:rFonts w:hint="eastAsia" w:hAnsi="宋体" w:eastAsia="宋体"/>
          <w:color w:val="auto"/>
          <w:sz w:val="32"/>
          <w:szCs w:val="32"/>
          <w:highlight w:val="none"/>
        </w:rPr>
      </w:pPr>
      <w:r>
        <w:rPr>
          <w:rFonts w:hint="eastAsia" w:hAnsi="宋体" w:eastAsia="宋体"/>
          <w:color w:val="auto"/>
          <w:sz w:val="32"/>
          <w:szCs w:val="32"/>
          <w:highlight w:val="none"/>
        </w:rPr>
        <w:t>第五章</w:t>
      </w:r>
      <w:r>
        <w:rPr>
          <w:rFonts w:hAnsi="宋体" w:eastAsia="宋体"/>
          <w:color w:val="auto"/>
          <w:sz w:val="32"/>
          <w:szCs w:val="32"/>
          <w:highlight w:val="none"/>
        </w:rPr>
        <w:t xml:space="preserve"> </w:t>
      </w:r>
      <w:r>
        <w:rPr>
          <w:rFonts w:hint="eastAsia" w:hAnsi="宋体" w:eastAsia="宋体"/>
          <w:color w:val="auto"/>
          <w:sz w:val="32"/>
          <w:szCs w:val="32"/>
          <w:highlight w:val="none"/>
        </w:rPr>
        <w:t>合同授予</w:t>
      </w:r>
    </w:p>
    <w:p>
      <w:pPr>
        <w:spacing w:line="1200" w:lineRule="exact"/>
        <w:rPr>
          <w:rFonts w:hint="eastAsia" w:hAnsi="宋体"/>
          <w:color w:val="auto"/>
          <w:sz w:val="32"/>
          <w:szCs w:val="32"/>
          <w:highlight w:val="none"/>
        </w:rPr>
      </w:pPr>
      <w:r>
        <w:rPr>
          <w:rFonts w:hAnsi="宋体"/>
          <w:color w:val="auto"/>
          <w:sz w:val="32"/>
          <w:szCs w:val="32"/>
          <w:highlight w:val="none"/>
        </w:rPr>
        <w:t>第</w:t>
      </w:r>
      <w:r>
        <w:rPr>
          <w:rFonts w:hint="eastAsia" w:hAnsi="宋体"/>
          <w:color w:val="auto"/>
          <w:sz w:val="32"/>
          <w:szCs w:val="32"/>
          <w:highlight w:val="none"/>
        </w:rPr>
        <w:t>六</w:t>
      </w:r>
      <w:r>
        <w:rPr>
          <w:rFonts w:hAnsi="宋体"/>
          <w:color w:val="auto"/>
          <w:sz w:val="32"/>
          <w:szCs w:val="32"/>
          <w:highlight w:val="none"/>
        </w:rPr>
        <w:t>章</w:t>
      </w:r>
      <w:r>
        <w:rPr>
          <w:rFonts w:hint="eastAsia" w:hAnsi="宋体"/>
          <w:color w:val="auto"/>
          <w:sz w:val="32"/>
          <w:szCs w:val="32"/>
          <w:highlight w:val="none"/>
        </w:rPr>
        <w:t xml:space="preserve"> 质疑提出和处理</w:t>
      </w:r>
    </w:p>
    <w:p>
      <w:pPr>
        <w:spacing w:line="1200" w:lineRule="exact"/>
        <w:rPr>
          <w:rFonts w:hint="eastAsia" w:hAnsi="宋体"/>
          <w:color w:val="auto"/>
          <w:sz w:val="36"/>
          <w:szCs w:val="36"/>
          <w:highlight w:val="none"/>
        </w:rPr>
      </w:pPr>
      <w:r>
        <w:rPr>
          <w:rFonts w:hAnsi="宋体"/>
          <w:color w:val="auto"/>
          <w:sz w:val="32"/>
          <w:szCs w:val="32"/>
          <w:highlight w:val="none"/>
        </w:rPr>
        <w:t>第</w:t>
      </w:r>
      <w:r>
        <w:rPr>
          <w:rFonts w:hint="eastAsia" w:hAnsi="宋体"/>
          <w:color w:val="auto"/>
          <w:sz w:val="32"/>
          <w:szCs w:val="32"/>
          <w:highlight w:val="none"/>
        </w:rPr>
        <w:t>七</w:t>
      </w:r>
      <w:r>
        <w:rPr>
          <w:rFonts w:hAnsi="宋体"/>
          <w:color w:val="auto"/>
          <w:sz w:val="32"/>
          <w:szCs w:val="32"/>
          <w:highlight w:val="none"/>
        </w:rPr>
        <w:t>章</w:t>
      </w:r>
      <w:r>
        <w:rPr>
          <w:rFonts w:hint="eastAsia" w:hAnsi="宋体"/>
          <w:color w:val="auto"/>
          <w:sz w:val="32"/>
          <w:szCs w:val="32"/>
          <w:highlight w:val="none"/>
        </w:rPr>
        <w:t xml:space="preserve"> 响应文件组成及格式</w:t>
      </w:r>
    </w:p>
    <w:p>
      <w:pPr>
        <w:rPr>
          <w:rFonts w:hint="eastAsia" w:hAnsi="宋体"/>
          <w:b/>
          <w:bCs/>
          <w:color w:val="auto"/>
          <w:sz w:val="36"/>
          <w:szCs w:val="36"/>
          <w:highlight w:val="none"/>
        </w:rPr>
      </w:pPr>
      <w:r>
        <w:rPr>
          <w:rFonts w:hAnsi="宋体"/>
          <w:b/>
          <w:bCs/>
          <w:color w:val="auto"/>
          <w:sz w:val="36"/>
          <w:szCs w:val="36"/>
          <w:highlight w:val="none"/>
        </w:rPr>
        <w:fldChar w:fldCharType="end"/>
      </w:r>
    </w:p>
    <w:p>
      <w:pPr>
        <w:rPr>
          <w:rFonts w:hint="eastAsia" w:hAnsi="宋体"/>
          <w:b/>
          <w:bCs/>
          <w:color w:val="auto"/>
          <w:sz w:val="36"/>
          <w:szCs w:val="36"/>
          <w:highlight w:val="none"/>
        </w:rPr>
      </w:pPr>
    </w:p>
    <w:p>
      <w:pPr>
        <w:rPr>
          <w:rFonts w:hint="eastAsia" w:hAnsi="宋体"/>
          <w:b/>
          <w:bCs/>
          <w:color w:val="auto"/>
          <w:sz w:val="36"/>
          <w:szCs w:val="36"/>
          <w:highlight w:val="none"/>
        </w:rPr>
      </w:pPr>
    </w:p>
    <w:p>
      <w:pPr>
        <w:rPr>
          <w:rFonts w:hint="eastAsia" w:hAnsi="宋体"/>
          <w:b/>
          <w:bCs/>
          <w:color w:val="auto"/>
          <w:sz w:val="36"/>
          <w:szCs w:val="36"/>
          <w:highlight w:val="none"/>
        </w:rPr>
      </w:pPr>
    </w:p>
    <w:p>
      <w:pPr>
        <w:snapToGrid w:val="0"/>
        <w:spacing w:line="360" w:lineRule="auto"/>
        <w:rPr>
          <w:rFonts w:hint="eastAsia" w:hAnsi="宋体" w:cs="宋体"/>
          <w:b/>
          <w:color w:val="auto"/>
          <w:szCs w:val="21"/>
          <w:highlight w:val="none"/>
        </w:rPr>
      </w:pPr>
      <w:r>
        <w:rPr>
          <w:rFonts w:hAnsi="宋体"/>
          <w:color w:val="auto"/>
          <w:w w:val="80"/>
          <w:szCs w:val="44"/>
          <w:highlight w:val="none"/>
        </w:rPr>
        <w:br w:type="page"/>
      </w:r>
      <w:r>
        <w:rPr>
          <w:rFonts w:hint="eastAsia" w:hAnsi="宋体" w:cs="宋体"/>
          <w:b/>
          <w:color w:val="auto"/>
          <w:szCs w:val="21"/>
          <w:highlight w:val="none"/>
        </w:rPr>
        <w:t>尊敬的供应商：</w:t>
      </w:r>
    </w:p>
    <w:p>
      <w:pPr>
        <w:pStyle w:val="4"/>
        <w:keepNext w:val="0"/>
        <w:keepLines w:val="0"/>
        <w:adjustRightInd w:val="0"/>
        <w:snapToGrid w:val="0"/>
        <w:spacing w:before="0" w:after="0" w:line="360" w:lineRule="auto"/>
        <w:ind w:firstLine="420" w:firstLineChars="200"/>
        <w:jc w:val="left"/>
        <w:textAlignment w:val="baseline"/>
        <w:rPr>
          <w:rFonts w:hint="eastAsia" w:ascii="宋体" w:hAnsi="宋体" w:eastAsia="宋体"/>
          <w:color w:val="auto"/>
          <w:w w:val="80"/>
          <w:szCs w:val="44"/>
          <w:highlight w:val="none"/>
        </w:rPr>
      </w:pPr>
      <w:r>
        <w:rPr>
          <w:rFonts w:hint="eastAsia" w:ascii="宋体" w:hAnsi="宋体" w:eastAsia="宋体" w:cs="宋体"/>
          <w:color w:val="auto"/>
          <w:kern w:val="2"/>
          <w:sz w:val="21"/>
          <w:szCs w:val="21"/>
          <w:highlight w:val="none"/>
        </w:rPr>
        <w:t>欢迎参加本采购项目的竞争性磋商。为了保证本次磋商项目顺利进行，请在制作响应文件之前，仔细阅读本竞争性磋商文件的各项条款，并按要求制作和递交响应文件。谢谢合作！</w:t>
      </w:r>
    </w:p>
    <w:p>
      <w:pPr>
        <w:pStyle w:val="4"/>
        <w:keepNext w:val="0"/>
        <w:keepLines w:val="0"/>
        <w:adjustRightInd w:val="0"/>
        <w:snapToGrid w:val="0"/>
        <w:spacing w:before="0" w:after="0" w:line="800" w:lineRule="exact"/>
        <w:jc w:val="center"/>
        <w:textAlignment w:val="baseline"/>
        <w:rPr>
          <w:rFonts w:hint="eastAsia" w:ascii="宋体" w:hAnsi="宋体" w:eastAsia="宋体"/>
          <w:color w:val="auto"/>
          <w:w w:val="80"/>
          <w:szCs w:val="44"/>
          <w:highlight w:val="none"/>
        </w:rPr>
      </w:pPr>
      <w:r>
        <w:rPr>
          <w:rFonts w:hint="eastAsia" w:ascii="宋体" w:hAnsi="宋体" w:eastAsia="宋体"/>
          <w:color w:val="auto"/>
          <w:w w:val="80"/>
          <w:szCs w:val="44"/>
          <w:highlight w:val="none"/>
        </w:rPr>
        <w:t>第一章  竞争性磋商公告</w:t>
      </w:r>
    </w:p>
    <w:p>
      <w:pPr>
        <w:rPr>
          <w:color w:val="auto"/>
          <w:highlight w:val="none"/>
        </w:rPr>
      </w:pPr>
    </w:p>
    <w:p>
      <w:pPr>
        <w:pBdr>
          <w:top w:val="single" w:color="auto" w:sz="4" w:space="1"/>
          <w:left w:val="single" w:color="auto" w:sz="4" w:space="4"/>
          <w:bottom w:val="single" w:color="auto" w:sz="4" w:space="1"/>
          <w:right w:val="single" w:color="auto" w:sz="4" w:space="4"/>
        </w:pBdr>
        <w:rPr>
          <w:rFonts w:hint="eastAsia" w:ascii="宋体" w:hAnsi="宋体" w:cs="宋体"/>
          <w:color w:val="auto"/>
          <w:szCs w:val="21"/>
          <w:highlight w:val="none"/>
        </w:rPr>
      </w:pPr>
      <w:r>
        <w:rPr>
          <w:rFonts w:hint="eastAsia" w:ascii="宋体" w:hAnsi="宋体" w:cs="宋体"/>
          <w:color w:val="auto"/>
          <w:szCs w:val="21"/>
          <w:highlight w:val="none"/>
        </w:rPr>
        <w:t>项目概况</w:t>
      </w:r>
    </w:p>
    <w:p>
      <w:pPr>
        <w:pBdr>
          <w:top w:val="single" w:color="auto" w:sz="4" w:space="1"/>
          <w:left w:val="single" w:color="auto" w:sz="4" w:space="4"/>
          <w:bottom w:val="single" w:color="auto" w:sz="4" w:space="1"/>
          <w:right w:val="single" w:color="auto" w:sz="4" w:space="4"/>
        </w:pBdr>
        <w:ind w:firstLine="420" w:firstLineChars="200"/>
        <w:rPr>
          <w:rFonts w:hint="eastAsia" w:ascii="仿宋" w:hAnsi="仿宋" w:eastAsia="仿宋"/>
          <w:color w:val="auto"/>
          <w:sz w:val="28"/>
          <w:szCs w:val="28"/>
          <w:highlight w:val="none"/>
        </w:rPr>
      </w:pPr>
      <w:r>
        <w:rPr>
          <w:rFonts w:hint="eastAsia" w:ascii="宋体" w:hAnsi="宋体" w:cs="宋体"/>
          <w:color w:val="auto"/>
          <w:szCs w:val="21"/>
          <w:highlight w:val="none"/>
          <w:u w:val="single"/>
        </w:rPr>
        <w:t>南通市海洋发展局2025中国海洋经济博览会参展项目</w:t>
      </w:r>
      <w:r>
        <w:rPr>
          <w:rFonts w:hint="eastAsia" w:ascii="宋体" w:hAnsi="宋体" w:cs="宋体"/>
          <w:color w:val="auto"/>
          <w:szCs w:val="21"/>
          <w:highlight w:val="none"/>
        </w:rPr>
        <w:t>的潜在供应商应在</w:t>
      </w:r>
      <w:r>
        <w:rPr>
          <w:rFonts w:hint="eastAsia" w:ascii="宋体" w:hAnsi="宋体" w:cs="宋体"/>
          <w:color w:val="auto"/>
          <w:szCs w:val="21"/>
          <w:highlight w:val="none"/>
          <w:u w:val="single"/>
        </w:rPr>
        <w:t>南通市公共资源交易网直接下载采购文件</w:t>
      </w:r>
      <w:r>
        <w:rPr>
          <w:rFonts w:hint="eastAsia" w:ascii="宋体" w:hAnsi="宋体" w:cs="宋体"/>
          <w:color w:val="auto"/>
          <w:szCs w:val="21"/>
          <w:highlight w:val="none"/>
        </w:rPr>
        <w:t>，并于</w:t>
      </w:r>
      <w:r>
        <w:rPr>
          <w:rFonts w:hint="eastAsia" w:ascii="宋体" w:hAnsi="宋体" w:cs="宋体"/>
          <w:color w:val="auto"/>
          <w:szCs w:val="21"/>
          <w:highlight w:val="none"/>
          <w:u w:val="single"/>
        </w:rPr>
        <w:t>2025年</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日09时30分</w:t>
      </w:r>
      <w:r>
        <w:rPr>
          <w:rFonts w:hint="eastAsia" w:ascii="宋体" w:hAnsi="宋体" w:cs="宋体"/>
          <w:bCs/>
          <w:color w:val="auto"/>
          <w:szCs w:val="21"/>
          <w:highlight w:val="none"/>
        </w:rPr>
        <w:t>（北京时间）前提交响应文件</w:t>
      </w:r>
      <w:r>
        <w:rPr>
          <w:rFonts w:hint="eastAsia" w:ascii="宋体" w:hAnsi="宋体" w:cs="宋体"/>
          <w:color w:val="auto"/>
          <w:szCs w:val="21"/>
          <w:highlight w:val="none"/>
        </w:rPr>
        <w:t>。</w:t>
      </w:r>
    </w:p>
    <w:p>
      <w:pPr>
        <w:rPr>
          <w:color w:val="auto"/>
          <w:highlight w:val="none"/>
        </w:rPr>
      </w:pP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江苏正扬招标代理有限公司（以下简称代理机构）受南通市海洋发展局（以下简称采购单位）的委托，对南通市海洋发展局2025中国海洋经济博览会参展项目采用竞争性磋商采购，诚邀符合条件的潜在供应商参加该项目的竞争性磋商。</w:t>
      </w:r>
    </w:p>
    <w:p>
      <w:pPr>
        <w:pStyle w:val="5"/>
        <w:spacing w:before="0" w:after="0" w:line="440" w:lineRule="exact"/>
        <w:rPr>
          <w:rFonts w:hint="eastAsia" w:ascii="宋体" w:hAnsi="宋体" w:eastAsia="宋体" w:cs="宋体"/>
          <w:color w:val="auto"/>
          <w:sz w:val="21"/>
          <w:szCs w:val="21"/>
          <w:highlight w:val="none"/>
        </w:rPr>
      </w:pPr>
      <w:bookmarkStart w:id="3" w:name="_Toc28359089"/>
      <w:bookmarkStart w:id="4" w:name="_Toc28359012"/>
      <w:bookmarkStart w:id="5" w:name="_Toc35393798"/>
      <w:bookmarkStart w:id="6" w:name="_Toc35393629"/>
      <w:r>
        <w:rPr>
          <w:rFonts w:hint="eastAsia" w:ascii="宋体" w:hAnsi="宋体" w:eastAsia="宋体" w:cs="宋体"/>
          <w:color w:val="auto"/>
          <w:sz w:val="21"/>
          <w:szCs w:val="21"/>
          <w:highlight w:val="none"/>
        </w:rPr>
        <w:t>一、项目基本情况</w:t>
      </w:r>
      <w:bookmarkEnd w:id="3"/>
      <w:bookmarkEnd w:id="4"/>
      <w:bookmarkEnd w:id="5"/>
      <w:bookmarkEnd w:id="6"/>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1.项目名称：南通市海洋发展局2025中国海洋经济博览会参展项目；</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2.采购方式：竞争性磋商；</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3.预算金额：40万元；</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4.最高限价：40万元；</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5.采购需求：详见第三章；</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6.服务期：布展时间：2025年10月26日至27日；展览时间：2025年10月28日至30日；撤展时间2025年10月30日下午；</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7.本项目不接受联合体参与磋商。</w:t>
      </w:r>
    </w:p>
    <w:p>
      <w:pPr>
        <w:pStyle w:val="5"/>
        <w:spacing w:before="0" w:after="0" w:line="440" w:lineRule="exact"/>
        <w:rPr>
          <w:rFonts w:hint="eastAsia" w:ascii="宋体" w:hAnsi="宋体" w:eastAsia="宋体" w:cs="宋体"/>
          <w:color w:val="auto"/>
          <w:sz w:val="21"/>
          <w:szCs w:val="21"/>
          <w:highlight w:val="none"/>
        </w:rPr>
      </w:pPr>
      <w:bookmarkStart w:id="7" w:name="_Toc35393630"/>
      <w:bookmarkStart w:id="8" w:name="_Toc35393799"/>
      <w:bookmarkStart w:id="9" w:name="_Toc28359090"/>
      <w:bookmarkStart w:id="10" w:name="_Toc28359013"/>
      <w:r>
        <w:rPr>
          <w:rFonts w:hint="eastAsia" w:ascii="宋体" w:hAnsi="宋体" w:eastAsia="宋体" w:cs="宋体"/>
          <w:color w:val="auto"/>
          <w:sz w:val="21"/>
          <w:szCs w:val="21"/>
          <w:highlight w:val="none"/>
        </w:rPr>
        <w:t>二、</w:t>
      </w:r>
      <w:bookmarkEnd w:id="7"/>
      <w:bookmarkEnd w:id="8"/>
      <w:bookmarkEnd w:id="9"/>
      <w:bookmarkEnd w:id="10"/>
      <w:r>
        <w:rPr>
          <w:rFonts w:hint="eastAsia" w:ascii="宋体" w:hAnsi="宋体" w:eastAsia="宋体" w:cs="宋体"/>
          <w:color w:val="auto"/>
          <w:sz w:val="21"/>
          <w:szCs w:val="21"/>
          <w:highlight w:val="none"/>
        </w:rPr>
        <w:t>申请人的资格要求</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hAnsi="宋体" w:cs="宋体"/>
          <w:color w:val="auto"/>
          <w:szCs w:val="21"/>
          <w:highlight w:val="none"/>
        </w:rPr>
        <w:t>供应商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提供相关证明材料或承诺函）。</w:t>
      </w:r>
    </w:p>
    <w:p>
      <w:pPr>
        <w:spacing w:line="440" w:lineRule="exact"/>
        <w:ind w:firstLine="420" w:firstLineChars="200"/>
        <w:rPr>
          <w:rFonts w:hint="eastAsia" w:hAnsi="宋体" w:cs="宋体"/>
          <w:color w:val="auto"/>
          <w:szCs w:val="21"/>
          <w:highlight w:val="none"/>
        </w:rPr>
      </w:pPr>
      <w:r>
        <w:rPr>
          <w:rFonts w:hint="eastAsia" w:hAnsi="宋体" w:cs="宋体"/>
          <w:color w:val="auto"/>
          <w:szCs w:val="21"/>
          <w:highlight w:val="none"/>
        </w:rPr>
        <w:t>2.供应商提供有效的营业执照复印件等具有独立承担民事责任能力的证明材料复印件。</w:t>
      </w:r>
    </w:p>
    <w:p>
      <w:pPr>
        <w:spacing w:line="440" w:lineRule="exact"/>
        <w:ind w:firstLine="420" w:firstLineChars="200"/>
        <w:rPr>
          <w:rFonts w:hint="eastAsia" w:hAnsi="宋体" w:cs="宋体"/>
          <w:color w:val="auto"/>
          <w:szCs w:val="21"/>
          <w:highlight w:val="none"/>
        </w:rPr>
      </w:pPr>
      <w:r>
        <w:rPr>
          <w:rFonts w:hint="eastAsia" w:hAnsi="宋体" w:cs="宋体"/>
          <w:color w:val="auto"/>
          <w:szCs w:val="21"/>
          <w:highlight w:val="none"/>
        </w:rPr>
        <w:t>3.供应商法定代表人参加磋商的，必须提供法定代表人身份证明及法定代表人本人身份证复印件；非法定代表人参加磋商的，必须提供法定代表人签字或盖章的授权委托书及法定代表人、被授权人的两人身份证的复印件。</w:t>
      </w:r>
    </w:p>
    <w:p>
      <w:pPr>
        <w:spacing w:line="440" w:lineRule="exact"/>
        <w:ind w:firstLine="420" w:firstLineChars="200"/>
        <w:rPr>
          <w:rFonts w:hint="eastAsia" w:hAnsi="宋体" w:cs="宋体"/>
          <w:color w:val="auto"/>
          <w:szCs w:val="21"/>
          <w:highlight w:val="none"/>
        </w:rPr>
      </w:pPr>
      <w:r>
        <w:rPr>
          <w:rFonts w:hint="eastAsia" w:ascii="宋体" w:hAnsi="宋体" w:cs="宋体"/>
          <w:color w:val="auto"/>
          <w:szCs w:val="21"/>
          <w:highlight w:val="none"/>
        </w:rPr>
        <w:t>4.供应商须提供参与本次项目采购活动前三年内，在经营活动中没有重大违法记录的书面《无重大违法记录声明函》（格式参见第七章）。</w:t>
      </w:r>
    </w:p>
    <w:p>
      <w:pPr>
        <w:spacing w:line="440" w:lineRule="exact"/>
        <w:ind w:firstLine="420" w:firstLineChars="200"/>
        <w:rPr>
          <w:rFonts w:hint="eastAsia" w:hAnsi="宋体" w:cs="宋体"/>
          <w:color w:val="auto"/>
          <w:szCs w:val="21"/>
          <w:highlight w:val="none"/>
        </w:rPr>
      </w:pPr>
      <w:r>
        <w:rPr>
          <w:rFonts w:hint="eastAsia" w:hAnsi="宋体" w:cs="宋体"/>
          <w:color w:val="auto"/>
          <w:szCs w:val="21"/>
          <w:highlight w:val="none"/>
        </w:rPr>
        <w:t>5.提供《关于资格文件的声明函》（格式参见第七章）。</w:t>
      </w:r>
    </w:p>
    <w:p>
      <w:pPr>
        <w:snapToGrid w:val="0"/>
        <w:spacing w:line="440" w:lineRule="exact"/>
        <w:ind w:firstLine="420" w:firstLineChars="200"/>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请供应商认真对照资格要求，如不符合要求，无意或故意参与</w:t>
      </w:r>
      <w:r>
        <w:rPr>
          <w:rFonts w:hint="eastAsia" w:ascii="宋体" w:hAnsi="宋体" w:cs="宋体"/>
          <w:b/>
          <w:color w:val="auto"/>
          <w:szCs w:val="21"/>
          <w:highlight w:val="none"/>
        </w:rPr>
        <w:t>磋商</w:t>
      </w:r>
      <w:r>
        <w:rPr>
          <w:rFonts w:hint="eastAsia" w:ascii="宋体" w:hAnsi="宋体" w:cs="宋体"/>
          <w:b/>
          <w:color w:val="auto"/>
          <w:szCs w:val="21"/>
          <w:highlight w:val="none"/>
          <w:lang w:val="zh-CN"/>
        </w:rPr>
        <w:t>的，所产生的一切后果由供应商承担。对提供虚假材料的响应供应商作无效标处理。</w:t>
      </w:r>
    </w:p>
    <w:p>
      <w:pPr>
        <w:pStyle w:val="5"/>
        <w:spacing w:before="0" w:after="0" w:line="440" w:lineRule="exact"/>
        <w:rPr>
          <w:rFonts w:hint="eastAsia" w:ascii="宋体" w:hAnsi="宋体" w:eastAsia="宋体" w:cs="宋体"/>
          <w:color w:val="auto"/>
          <w:sz w:val="21"/>
          <w:szCs w:val="21"/>
          <w:highlight w:val="none"/>
        </w:rPr>
      </w:pPr>
      <w:bookmarkStart w:id="11" w:name="_Toc35393801"/>
      <w:bookmarkStart w:id="12" w:name="_Toc28359015"/>
      <w:bookmarkStart w:id="13" w:name="_Toc35393632"/>
      <w:bookmarkStart w:id="14" w:name="_Toc28359092"/>
      <w:r>
        <w:rPr>
          <w:rFonts w:hint="eastAsia" w:ascii="宋体" w:hAnsi="宋体" w:eastAsia="宋体" w:cs="宋体"/>
          <w:color w:val="auto"/>
          <w:sz w:val="21"/>
          <w:szCs w:val="21"/>
          <w:highlight w:val="none"/>
        </w:rPr>
        <w:t>三、获取采购文件</w:t>
      </w:r>
    </w:p>
    <w:p>
      <w:pPr>
        <w:spacing w:line="480" w:lineRule="exact"/>
        <w:ind w:firstLine="420" w:firstLineChars="200"/>
        <w:rPr>
          <w:rFonts w:hint="eastAsia" w:hAnsi="宋体"/>
          <w:color w:val="auto"/>
          <w:szCs w:val="21"/>
          <w:highlight w:val="none"/>
        </w:rPr>
      </w:pPr>
      <w:r>
        <w:rPr>
          <w:rFonts w:hint="eastAsia" w:hAnsi="宋体"/>
          <w:color w:val="auto"/>
          <w:szCs w:val="21"/>
          <w:highlight w:val="none"/>
        </w:rPr>
        <w:t>1.地点：南通市公共资源交易网；</w:t>
      </w:r>
    </w:p>
    <w:p>
      <w:pPr>
        <w:spacing w:line="480" w:lineRule="exact"/>
        <w:ind w:firstLine="420" w:firstLineChars="200"/>
        <w:rPr>
          <w:rFonts w:hint="eastAsia" w:hAnsi="宋体"/>
          <w:color w:val="auto"/>
          <w:szCs w:val="21"/>
          <w:highlight w:val="none"/>
        </w:rPr>
      </w:pPr>
      <w:r>
        <w:rPr>
          <w:rFonts w:hint="eastAsia" w:hAnsi="宋体"/>
          <w:color w:val="auto"/>
          <w:szCs w:val="21"/>
          <w:highlight w:val="none"/>
        </w:rPr>
        <w:t>2.方式：直接下载；</w:t>
      </w:r>
    </w:p>
    <w:p>
      <w:pPr>
        <w:snapToGrid w:val="0"/>
        <w:spacing w:line="480" w:lineRule="exact"/>
        <w:ind w:firstLine="420" w:firstLineChars="200"/>
        <w:contextualSpacing/>
        <w:rPr>
          <w:rFonts w:hint="eastAsia" w:ascii="宋体" w:hAnsi="宋体" w:cs="宋体"/>
          <w:color w:val="auto"/>
          <w:szCs w:val="21"/>
          <w:highlight w:val="none"/>
        </w:rPr>
      </w:pPr>
      <w:r>
        <w:rPr>
          <w:rFonts w:hint="eastAsia" w:hAnsi="宋体"/>
          <w:color w:val="auto"/>
          <w:szCs w:val="21"/>
          <w:highlight w:val="none"/>
        </w:rPr>
        <w:t>3.有关本次采购的事项若存在变动或修改，敬请及时关注“南通市公共资源交易网”发布的信息更正公告，恕不另行通知，如有遗漏采购单位概不负责。</w:t>
      </w:r>
    </w:p>
    <w:p>
      <w:pPr>
        <w:pStyle w:val="5"/>
        <w:spacing w:before="0" w:after="0"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四、响应文件提交</w:t>
      </w:r>
      <w:bookmarkEnd w:id="11"/>
      <w:bookmarkEnd w:id="12"/>
      <w:bookmarkEnd w:id="13"/>
      <w:bookmarkEnd w:id="14"/>
    </w:p>
    <w:p>
      <w:pPr>
        <w:snapToGrid w:val="0"/>
        <w:spacing w:line="360" w:lineRule="auto"/>
        <w:ind w:firstLine="420" w:firstLineChars="200"/>
        <w:outlineLvl w:val="1"/>
        <w:rPr>
          <w:rFonts w:hint="eastAsia" w:ascii="宋体" w:hAnsi="宋体" w:cs="宋体"/>
          <w:color w:val="auto"/>
          <w:szCs w:val="21"/>
          <w:highlight w:val="none"/>
        </w:rPr>
      </w:pPr>
      <w:bookmarkStart w:id="15" w:name="_Toc28359016"/>
      <w:bookmarkStart w:id="16" w:name="_Toc28359093"/>
      <w:bookmarkStart w:id="17" w:name="_Toc35393802"/>
      <w:bookmarkStart w:id="18" w:name="_Toc35393633"/>
      <w:r>
        <w:rPr>
          <w:rFonts w:hint="eastAsia" w:ascii="宋体" w:hAnsi="宋体" w:cs="宋体"/>
          <w:bCs/>
          <w:color w:val="auto"/>
          <w:szCs w:val="21"/>
          <w:highlight w:val="none"/>
        </w:rPr>
        <w:t>1.响应文件接收截止及评审磋商开始时间：</w:t>
      </w:r>
      <w:r>
        <w:rPr>
          <w:rFonts w:hint="eastAsia" w:ascii="宋体" w:hAnsi="宋体" w:cs="宋体"/>
          <w:b/>
          <w:color w:val="auto"/>
          <w:szCs w:val="21"/>
          <w:highlight w:val="none"/>
        </w:rPr>
        <w:t>2025年</w:t>
      </w:r>
      <w:r>
        <w:rPr>
          <w:rFonts w:hint="eastAsia" w:ascii="宋体" w:hAnsi="宋体" w:cs="宋体"/>
          <w:b/>
          <w:color w:val="auto"/>
          <w:szCs w:val="21"/>
          <w:highlight w:val="none"/>
          <w:lang w:val="en-US" w:eastAsia="zh-CN"/>
        </w:rPr>
        <w:t>10</w:t>
      </w:r>
      <w:r>
        <w:rPr>
          <w:rFonts w:hint="eastAsia" w:ascii="宋体" w:hAnsi="宋体" w:cs="宋体"/>
          <w:b/>
          <w:color w:val="auto"/>
          <w:szCs w:val="21"/>
          <w:highlight w:val="none"/>
        </w:rPr>
        <w:t>月</w:t>
      </w:r>
      <w:r>
        <w:rPr>
          <w:rFonts w:hint="eastAsia" w:ascii="宋体" w:hAnsi="宋体" w:cs="宋体"/>
          <w:b/>
          <w:color w:val="auto"/>
          <w:szCs w:val="21"/>
          <w:highlight w:val="none"/>
          <w:lang w:val="en-US" w:eastAsia="zh-CN"/>
        </w:rPr>
        <w:t>9</w:t>
      </w:r>
      <w:r>
        <w:rPr>
          <w:rFonts w:hint="eastAsia" w:ascii="宋体" w:hAnsi="宋体" w:cs="宋体"/>
          <w:b/>
          <w:color w:val="auto"/>
          <w:szCs w:val="21"/>
          <w:highlight w:val="none"/>
        </w:rPr>
        <w:t>日09时30分</w:t>
      </w:r>
      <w:r>
        <w:rPr>
          <w:rFonts w:hint="eastAsia" w:ascii="宋体" w:hAnsi="宋体" w:cs="宋体"/>
          <w:color w:val="auto"/>
          <w:szCs w:val="21"/>
          <w:highlight w:val="none"/>
        </w:rPr>
        <w:t>（北京时间）。</w:t>
      </w:r>
    </w:p>
    <w:p>
      <w:pPr>
        <w:widowControl/>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2.响应文件递交地址：南通市崇川区青年中路153号4号楼211室（百度导航到汽车东站3号门），如有变动另行通知。</w:t>
      </w:r>
    </w:p>
    <w:p>
      <w:pPr>
        <w:pStyle w:val="5"/>
        <w:spacing w:before="0" w:after="0"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五、开启</w:t>
      </w:r>
    </w:p>
    <w:p>
      <w:pPr>
        <w:snapToGrid w:val="0"/>
        <w:spacing w:line="440" w:lineRule="exact"/>
        <w:ind w:firstLine="420" w:firstLineChars="200"/>
        <w:contextualSpacing/>
        <w:rPr>
          <w:rFonts w:hint="eastAsia" w:hAnsi="宋体"/>
          <w:color w:val="auto"/>
          <w:szCs w:val="21"/>
          <w:highlight w:val="none"/>
        </w:rPr>
      </w:pPr>
      <w:r>
        <w:rPr>
          <w:rFonts w:hint="eastAsia" w:hAnsi="宋体"/>
          <w:color w:val="auto"/>
          <w:szCs w:val="21"/>
          <w:highlight w:val="none"/>
        </w:rPr>
        <w:t>1.响应文件开启</w:t>
      </w:r>
      <w:bookmarkEnd w:id="15"/>
      <w:bookmarkEnd w:id="16"/>
      <w:bookmarkEnd w:id="17"/>
      <w:bookmarkEnd w:id="18"/>
      <w:r>
        <w:rPr>
          <w:rFonts w:hint="eastAsia" w:hAnsi="宋体"/>
          <w:color w:val="auto"/>
          <w:szCs w:val="21"/>
          <w:highlight w:val="none"/>
        </w:rPr>
        <w:t>时间：</w:t>
      </w:r>
      <w:r>
        <w:rPr>
          <w:rFonts w:hint="eastAsia" w:ascii="宋体" w:hAnsi="宋体" w:cs="宋体"/>
          <w:b/>
          <w:color w:val="auto"/>
          <w:szCs w:val="21"/>
          <w:highlight w:val="none"/>
        </w:rPr>
        <w:t>2025年</w:t>
      </w:r>
      <w:r>
        <w:rPr>
          <w:rFonts w:hint="eastAsia" w:ascii="宋体" w:hAnsi="宋体" w:cs="宋体"/>
          <w:b/>
          <w:color w:val="auto"/>
          <w:szCs w:val="21"/>
          <w:highlight w:val="none"/>
          <w:lang w:val="en-US" w:eastAsia="zh-CN"/>
        </w:rPr>
        <w:t>10</w:t>
      </w:r>
      <w:r>
        <w:rPr>
          <w:rFonts w:hint="eastAsia" w:ascii="宋体" w:hAnsi="宋体" w:cs="宋体"/>
          <w:b/>
          <w:color w:val="auto"/>
          <w:szCs w:val="21"/>
          <w:highlight w:val="none"/>
        </w:rPr>
        <w:t>月</w:t>
      </w:r>
      <w:r>
        <w:rPr>
          <w:rFonts w:hint="eastAsia" w:ascii="宋体" w:hAnsi="宋体" w:cs="宋体"/>
          <w:b/>
          <w:color w:val="auto"/>
          <w:szCs w:val="21"/>
          <w:highlight w:val="none"/>
          <w:lang w:val="en-US" w:eastAsia="zh-CN"/>
        </w:rPr>
        <w:t>9</w:t>
      </w:r>
      <w:r>
        <w:rPr>
          <w:rFonts w:hint="eastAsia" w:ascii="宋体" w:hAnsi="宋体" w:cs="宋体"/>
          <w:b/>
          <w:color w:val="auto"/>
          <w:szCs w:val="21"/>
          <w:highlight w:val="none"/>
        </w:rPr>
        <w:t>日09时30分</w:t>
      </w:r>
      <w:r>
        <w:rPr>
          <w:rFonts w:hint="eastAsia" w:hAnsi="宋体"/>
          <w:b/>
          <w:bCs/>
          <w:color w:val="auto"/>
          <w:szCs w:val="21"/>
          <w:highlight w:val="none"/>
        </w:rPr>
        <w:t>（北京时间）。</w:t>
      </w:r>
    </w:p>
    <w:p>
      <w:pPr>
        <w:snapToGrid w:val="0"/>
        <w:spacing w:line="440" w:lineRule="exact"/>
        <w:ind w:firstLine="420" w:firstLineChars="200"/>
        <w:contextualSpacing/>
        <w:rPr>
          <w:rFonts w:hint="eastAsia" w:ascii="宋体" w:hAnsi="宋体" w:cs="宋体"/>
          <w:color w:val="auto"/>
          <w:szCs w:val="21"/>
          <w:highlight w:val="none"/>
        </w:rPr>
      </w:pPr>
      <w:r>
        <w:rPr>
          <w:rFonts w:hint="eastAsia" w:hAnsi="宋体"/>
          <w:color w:val="auto"/>
          <w:szCs w:val="21"/>
          <w:highlight w:val="none"/>
        </w:rPr>
        <w:t>2.地点：</w:t>
      </w:r>
      <w:r>
        <w:rPr>
          <w:rFonts w:hint="eastAsia" w:ascii="宋体" w:hAnsi="宋体" w:cs="宋体"/>
          <w:bCs/>
          <w:color w:val="auto"/>
          <w:szCs w:val="21"/>
          <w:highlight w:val="none"/>
        </w:rPr>
        <w:t>南通市崇川区青年中路153号4号楼211室（百度导航到汽车东站3号门），如有变动另行通知。</w:t>
      </w:r>
    </w:p>
    <w:p>
      <w:pPr>
        <w:snapToGrid w:val="0"/>
        <w:spacing w:line="440" w:lineRule="exact"/>
        <w:outlineLvl w:val="1"/>
        <w:rPr>
          <w:rFonts w:hint="eastAsia" w:ascii="宋体" w:hAnsi="宋体" w:cs="宋体"/>
          <w:bCs/>
          <w:color w:val="auto"/>
          <w:szCs w:val="21"/>
          <w:highlight w:val="none"/>
        </w:rPr>
      </w:pPr>
      <w:r>
        <w:rPr>
          <w:rFonts w:hint="eastAsia" w:ascii="宋体" w:hAnsi="宋体" w:cs="宋体"/>
          <w:b/>
          <w:bCs/>
          <w:color w:val="auto"/>
          <w:szCs w:val="21"/>
          <w:highlight w:val="none"/>
        </w:rPr>
        <w:t>六、公告期限：</w:t>
      </w:r>
      <w:r>
        <w:rPr>
          <w:rFonts w:hint="eastAsia" w:ascii="宋体" w:hAnsi="宋体" w:cs="宋体"/>
          <w:color w:val="auto"/>
          <w:szCs w:val="21"/>
          <w:highlight w:val="none"/>
        </w:rPr>
        <w:t>自</w:t>
      </w:r>
      <w:r>
        <w:rPr>
          <w:rFonts w:hint="eastAsia" w:ascii="宋体" w:hAnsi="宋体" w:cs="宋体"/>
          <w:bCs/>
          <w:color w:val="auto"/>
          <w:szCs w:val="21"/>
          <w:highlight w:val="none"/>
        </w:rPr>
        <w:t>本公告发布之日起</w:t>
      </w:r>
      <w:r>
        <w:rPr>
          <w:rFonts w:ascii="宋体" w:hAnsi="宋体" w:cs="宋体"/>
          <w:bCs/>
          <w:color w:val="auto"/>
          <w:szCs w:val="21"/>
          <w:highlight w:val="none"/>
        </w:rPr>
        <w:t>3</w:t>
      </w:r>
      <w:r>
        <w:rPr>
          <w:rFonts w:hint="eastAsia" w:ascii="宋体" w:hAnsi="宋体" w:cs="宋体"/>
          <w:bCs/>
          <w:color w:val="auto"/>
          <w:szCs w:val="21"/>
          <w:highlight w:val="none"/>
        </w:rPr>
        <w:t>个工作日。</w:t>
      </w:r>
      <w:bookmarkStart w:id="19" w:name="_Toc35393635"/>
      <w:bookmarkStart w:id="20" w:name="_Toc35393804"/>
    </w:p>
    <w:bookmarkEnd w:id="19"/>
    <w:bookmarkEnd w:id="20"/>
    <w:p>
      <w:pPr>
        <w:pStyle w:val="5"/>
        <w:spacing w:before="0" w:after="0"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七、凡对本次采购提出询问，请按以下方式联系</w:t>
      </w:r>
    </w:p>
    <w:p>
      <w:pPr>
        <w:snapToGrid w:val="0"/>
        <w:spacing w:line="440" w:lineRule="exact"/>
        <w:ind w:firstLine="420" w:firstLineChars="200"/>
        <w:outlineLvl w:val="1"/>
        <w:rPr>
          <w:rFonts w:hint="eastAsia" w:ascii="宋体" w:hAnsi="宋体" w:cs="宋体"/>
          <w:bCs/>
          <w:color w:val="auto"/>
          <w:szCs w:val="21"/>
          <w:highlight w:val="none"/>
        </w:rPr>
      </w:pPr>
      <w:r>
        <w:rPr>
          <w:rFonts w:hint="eastAsia" w:ascii="宋体" w:hAnsi="宋体" w:cs="宋体"/>
          <w:bCs/>
          <w:color w:val="auto"/>
          <w:szCs w:val="21"/>
          <w:highlight w:val="none"/>
        </w:rPr>
        <w:t>1.采购人：南通市海洋发展局；</w:t>
      </w:r>
    </w:p>
    <w:p>
      <w:pPr>
        <w:snapToGrid w:val="0"/>
        <w:spacing w:line="440" w:lineRule="exact"/>
        <w:ind w:firstLine="420" w:firstLineChars="200"/>
        <w:outlineLvl w:val="1"/>
        <w:rPr>
          <w:rFonts w:hint="eastAsia" w:ascii="宋体" w:hAnsi="宋体" w:cs="宋体"/>
          <w:bCs/>
          <w:color w:val="auto"/>
          <w:szCs w:val="21"/>
          <w:highlight w:val="none"/>
        </w:rPr>
      </w:pPr>
      <w:r>
        <w:rPr>
          <w:rFonts w:hint="eastAsia" w:ascii="宋体" w:hAnsi="宋体" w:cs="宋体"/>
          <w:bCs/>
          <w:color w:val="auto"/>
          <w:szCs w:val="21"/>
          <w:highlight w:val="none"/>
        </w:rPr>
        <w:t>联系地址：</w:t>
      </w:r>
      <w:r>
        <w:rPr>
          <w:rFonts w:ascii="宋体" w:hAnsi="宋体" w:cs="宋体"/>
          <w:bCs/>
          <w:color w:val="auto"/>
          <w:szCs w:val="21"/>
          <w:highlight w:val="none"/>
        </w:rPr>
        <w:t>南通市崇川区</w:t>
      </w:r>
      <w:r>
        <w:rPr>
          <w:rFonts w:hint="eastAsia" w:ascii="宋体" w:hAnsi="宋体" w:cs="宋体"/>
          <w:bCs/>
          <w:color w:val="auto"/>
          <w:szCs w:val="21"/>
          <w:highlight w:val="none"/>
        </w:rPr>
        <w:t>世纪大道8号报业大厦；</w:t>
      </w:r>
    </w:p>
    <w:p>
      <w:pPr>
        <w:snapToGrid w:val="0"/>
        <w:spacing w:line="440" w:lineRule="exact"/>
        <w:ind w:firstLine="420" w:firstLineChars="200"/>
        <w:outlineLvl w:val="1"/>
        <w:rPr>
          <w:rFonts w:hint="eastAsia" w:ascii="宋体" w:hAnsi="宋体" w:cs="宋体"/>
          <w:bCs/>
          <w:color w:val="auto"/>
          <w:szCs w:val="21"/>
          <w:highlight w:val="none"/>
        </w:rPr>
      </w:pPr>
      <w:r>
        <w:rPr>
          <w:rFonts w:hint="eastAsia" w:ascii="宋体" w:hAnsi="宋体" w:cs="宋体"/>
          <w:bCs/>
          <w:color w:val="auto"/>
          <w:szCs w:val="21"/>
          <w:highlight w:val="none"/>
        </w:rPr>
        <w:t>联系人：</w:t>
      </w:r>
      <w:r>
        <w:rPr>
          <w:rFonts w:hint="eastAsia" w:ascii="宋体" w:hAnsi="宋体" w:cs="宋体"/>
          <w:color w:val="auto"/>
          <w:highlight w:val="none"/>
        </w:rPr>
        <w:t>曹镭</w:t>
      </w:r>
      <w:r>
        <w:rPr>
          <w:rFonts w:hint="eastAsia" w:ascii="宋体" w:hAnsi="宋体" w:cs="宋体"/>
          <w:bCs/>
          <w:color w:val="auto"/>
          <w:szCs w:val="21"/>
          <w:highlight w:val="none"/>
        </w:rPr>
        <w:t>；</w:t>
      </w:r>
    </w:p>
    <w:p>
      <w:pPr>
        <w:snapToGrid w:val="0"/>
        <w:spacing w:line="440" w:lineRule="exact"/>
        <w:ind w:firstLine="420" w:firstLineChars="200"/>
        <w:outlineLvl w:val="1"/>
        <w:rPr>
          <w:rFonts w:hint="eastAsia" w:ascii="宋体" w:hAnsi="宋体" w:cs="宋体"/>
          <w:bCs/>
          <w:color w:val="auto"/>
          <w:szCs w:val="21"/>
          <w:highlight w:val="none"/>
        </w:rPr>
      </w:pPr>
      <w:r>
        <w:rPr>
          <w:rFonts w:hint="eastAsia" w:ascii="宋体" w:hAnsi="宋体" w:cs="宋体"/>
          <w:bCs/>
          <w:color w:val="auto"/>
          <w:szCs w:val="21"/>
          <w:highlight w:val="none"/>
        </w:rPr>
        <w:t>联系电话：</w:t>
      </w:r>
      <w:r>
        <w:rPr>
          <w:rFonts w:hint="eastAsia" w:ascii="宋体" w:hAnsi="宋体" w:cs="宋体"/>
          <w:color w:val="auto"/>
          <w:highlight w:val="none"/>
        </w:rPr>
        <w:t>0513-59001806</w:t>
      </w:r>
      <w:r>
        <w:rPr>
          <w:rFonts w:hint="eastAsia" w:ascii="宋体" w:hAnsi="宋体" w:cs="宋体"/>
          <w:bCs/>
          <w:color w:val="auto"/>
          <w:szCs w:val="21"/>
          <w:highlight w:val="none"/>
        </w:rPr>
        <w:t>。</w:t>
      </w:r>
    </w:p>
    <w:p>
      <w:pPr>
        <w:snapToGrid w:val="0"/>
        <w:spacing w:line="440" w:lineRule="exact"/>
        <w:ind w:firstLine="420" w:firstLineChars="200"/>
        <w:outlineLvl w:val="1"/>
        <w:rPr>
          <w:rFonts w:hint="eastAsia" w:ascii="宋体" w:hAnsi="宋体" w:cs="宋体"/>
          <w:bCs/>
          <w:color w:val="auto"/>
          <w:szCs w:val="21"/>
          <w:highlight w:val="none"/>
        </w:rPr>
      </w:pPr>
      <w:r>
        <w:rPr>
          <w:rFonts w:hint="eastAsia" w:ascii="宋体" w:hAnsi="宋体" w:cs="宋体"/>
          <w:bCs/>
          <w:color w:val="auto"/>
          <w:szCs w:val="21"/>
          <w:highlight w:val="none"/>
        </w:rPr>
        <w:t xml:space="preserve">2.采购代理机构：江苏正扬招标代理有限公司； </w:t>
      </w:r>
    </w:p>
    <w:p>
      <w:pPr>
        <w:snapToGrid w:val="0"/>
        <w:spacing w:line="440" w:lineRule="exact"/>
        <w:ind w:firstLine="420" w:firstLineChars="200"/>
        <w:outlineLvl w:val="1"/>
        <w:rPr>
          <w:rFonts w:hint="eastAsia" w:ascii="宋体" w:hAnsi="宋体" w:cs="宋体"/>
          <w:bCs/>
          <w:color w:val="auto"/>
          <w:szCs w:val="21"/>
          <w:highlight w:val="none"/>
        </w:rPr>
      </w:pPr>
      <w:r>
        <w:rPr>
          <w:rFonts w:hint="eastAsia" w:ascii="宋体" w:hAnsi="宋体" w:cs="宋体"/>
          <w:bCs/>
          <w:color w:val="auto"/>
          <w:szCs w:val="21"/>
          <w:highlight w:val="none"/>
        </w:rPr>
        <w:t>联系人：李艳梅；</w:t>
      </w:r>
    </w:p>
    <w:p>
      <w:pPr>
        <w:snapToGrid w:val="0"/>
        <w:spacing w:line="440" w:lineRule="exact"/>
        <w:ind w:firstLine="420" w:firstLineChars="200"/>
        <w:outlineLvl w:val="1"/>
        <w:rPr>
          <w:rFonts w:hint="eastAsia" w:ascii="宋体" w:hAnsi="宋体" w:cs="宋体"/>
          <w:bCs/>
          <w:color w:val="auto"/>
          <w:szCs w:val="21"/>
          <w:highlight w:val="none"/>
        </w:rPr>
      </w:pPr>
      <w:r>
        <w:rPr>
          <w:rFonts w:hint="eastAsia" w:ascii="宋体" w:hAnsi="宋体" w:cs="宋体"/>
          <w:bCs/>
          <w:color w:val="auto"/>
          <w:szCs w:val="21"/>
          <w:highlight w:val="none"/>
        </w:rPr>
        <w:t>联系地址：南通市崇川区青年中路153号4号楼213室；</w:t>
      </w:r>
    </w:p>
    <w:p>
      <w:pPr>
        <w:snapToGrid w:val="0"/>
        <w:spacing w:line="440" w:lineRule="exact"/>
        <w:ind w:firstLine="420" w:firstLineChars="200"/>
        <w:outlineLvl w:val="1"/>
        <w:rPr>
          <w:rFonts w:hint="eastAsia" w:ascii="宋体" w:hAnsi="宋体" w:cs="宋体"/>
          <w:color w:val="auto"/>
          <w:highlight w:val="none"/>
        </w:rPr>
      </w:pPr>
      <w:r>
        <w:rPr>
          <w:rFonts w:hint="eastAsia" w:ascii="宋体" w:hAnsi="宋体" w:cs="宋体"/>
          <w:bCs/>
          <w:color w:val="auto"/>
          <w:szCs w:val="21"/>
          <w:highlight w:val="none"/>
        </w:rPr>
        <w:t>联系电话：0513-85991998。</w:t>
      </w:r>
    </w:p>
    <w:p>
      <w:pPr>
        <w:pStyle w:val="4"/>
        <w:keepNext w:val="0"/>
        <w:keepLines w:val="0"/>
        <w:adjustRightInd w:val="0"/>
        <w:snapToGrid w:val="0"/>
        <w:spacing w:before="0" w:after="0" w:line="800" w:lineRule="exact"/>
        <w:jc w:val="center"/>
        <w:textAlignment w:val="baseline"/>
        <w:rPr>
          <w:rFonts w:hint="eastAsia" w:ascii="宋体" w:hAnsi="宋体" w:eastAsia="宋体"/>
          <w:color w:val="auto"/>
          <w:w w:val="80"/>
          <w:szCs w:val="44"/>
          <w:highlight w:val="none"/>
        </w:rPr>
      </w:pPr>
      <w:r>
        <w:rPr>
          <w:rFonts w:ascii="宋体" w:hAnsi="宋体"/>
          <w:color w:val="auto"/>
          <w:w w:val="80"/>
          <w:szCs w:val="44"/>
          <w:highlight w:val="none"/>
        </w:rPr>
        <w:br w:type="page"/>
      </w:r>
      <w:r>
        <w:rPr>
          <w:rFonts w:hint="eastAsia" w:ascii="宋体" w:hAnsi="宋体" w:eastAsia="宋体"/>
          <w:color w:val="auto"/>
          <w:w w:val="80"/>
          <w:szCs w:val="44"/>
          <w:highlight w:val="none"/>
        </w:rPr>
        <w:t>第二章  供应商须知</w:t>
      </w:r>
    </w:p>
    <w:p>
      <w:pPr>
        <w:snapToGrid w:val="0"/>
        <w:spacing w:line="480" w:lineRule="exact"/>
        <w:ind w:firstLine="480" w:firstLineChars="200"/>
        <w:outlineLvl w:val="1"/>
        <w:rPr>
          <w:rFonts w:hint="eastAsia" w:hAnsi="宋体" w:cs="宋体"/>
          <w:b/>
          <w:bCs/>
          <w:color w:val="auto"/>
          <w:sz w:val="24"/>
          <w:szCs w:val="24"/>
          <w:highlight w:val="none"/>
        </w:rPr>
      </w:pPr>
      <w:r>
        <w:rPr>
          <w:rFonts w:hint="eastAsia" w:hAnsi="宋体" w:cs="宋体"/>
          <w:b/>
          <w:bCs/>
          <w:color w:val="auto"/>
          <w:sz w:val="24"/>
          <w:szCs w:val="24"/>
          <w:highlight w:val="none"/>
        </w:rPr>
        <w:t>一、说明</w:t>
      </w:r>
    </w:p>
    <w:p>
      <w:pPr>
        <w:snapToGrid w:val="0"/>
        <w:spacing w:line="480" w:lineRule="exact"/>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1.本竞争性磋商文件仅适用于采购单位组织的竞争性磋商采购活动。</w:t>
      </w:r>
    </w:p>
    <w:p>
      <w:pPr>
        <w:snapToGrid w:val="0"/>
        <w:spacing w:line="480" w:lineRule="exact"/>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2.竞争性磋商活动及因本次磋商产生的合同受中国法律制约和保护。</w:t>
      </w:r>
    </w:p>
    <w:p>
      <w:pPr>
        <w:snapToGrid w:val="0"/>
        <w:spacing w:line="480" w:lineRule="exact"/>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3.竞争性磋商文件的解释权属于采购单位。</w:t>
      </w:r>
    </w:p>
    <w:p>
      <w:pPr>
        <w:snapToGrid w:val="0"/>
        <w:spacing w:line="480" w:lineRule="exact"/>
        <w:ind w:firstLine="480" w:firstLineChars="200"/>
        <w:rPr>
          <w:rFonts w:hint="eastAsia" w:hAnsi="宋体" w:cs="宋体"/>
          <w:b/>
          <w:bCs/>
          <w:color w:val="auto"/>
          <w:sz w:val="24"/>
          <w:szCs w:val="24"/>
          <w:highlight w:val="none"/>
        </w:rPr>
      </w:pPr>
      <w:r>
        <w:rPr>
          <w:rFonts w:hint="eastAsia" w:hAnsi="宋体" w:cs="宋体"/>
          <w:color w:val="auto"/>
          <w:sz w:val="24"/>
          <w:szCs w:val="24"/>
          <w:highlight w:val="none"/>
        </w:rPr>
        <w:t>4.供应商获取磋商文件后，应仔细检查磋商文件的所有内容。如内容中有页码短缺、资格要求以及任何设置有不合理的条件对供应商实行差别待遇或者歧视待遇的，应在法律规定的质疑期内，以书面形式向代理机构提出询问或疑问，未在规定的时间内提出询问或疑问的，视同理解并接受本磋商文件的所有内容，因此引起的损失由供应商自负，而且供应商不得在磋商结束后针对磋商文件的所有内容提出质疑事项。</w:t>
      </w:r>
      <w:r>
        <w:rPr>
          <w:rFonts w:hint="eastAsia" w:hAnsi="宋体" w:cs="宋体"/>
          <w:b/>
          <w:bCs/>
          <w:color w:val="auto"/>
          <w:sz w:val="24"/>
          <w:szCs w:val="24"/>
          <w:highlight w:val="none"/>
        </w:rPr>
        <w:t>供应商须在法定质疑期内一次性提出针对同一采购程序环节的质疑。非书面形式的不作为日后质疑提出的依据。</w:t>
      </w:r>
    </w:p>
    <w:p>
      <w:pPr>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5.供应商应认真审阅磋商文件中所有的事项、格式、条款和规范要求等，如果供应商没有按照磋商文件要求提交响应文件，或者响应文件没有对磋商文件做出实质性响应，将被拒绝参与项目的磋商。</w:t>
      </w:r>
    </w:p>
    <w:p>
      <w:pPr>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6.</w:t>
      </w:r>
      <w:r>
        <w:rPr>
          <w:rFonts w:hint="eastAsia" w:ascii="宋体" w:hAnsi="宋体"/>
          <w:bCs/>
          <w:color w:val="auto"/>
          <w:sz w:val="24"/>
          <w:szCs w:val="24"/>
          <w:highlight w:val="none"/>
        </w:rPr>
        <w:t>供应商应</w:t>
      </w:r>
      <w:r>
        <w:rPr>
          <w:rFonts w:hint="eastAsia" w:hAnsi="宋体" w:cs="宋体"/>
          <w:color w:val="auto"/>
          <w:sz w:val="24"/>
          <w:szCs w:val="24"/>
          <w:highlight w:val="none"/>
        </w:rPr>
        <w:t>在磋商开始前</w:t>
      </w:r>
      <w:r>
        <w:rPr>
          <w:rFonts w:hint="eastAsia" w:ascii="宋体" w:hAnsi="宋体"/>
          <w:bCs/>
          <w:color w:val="auto"/>
          <w:sz w:val="24"/>
          <w:szCs w:val="24"/>
          <w:highlight w:val="none"/>
        </w:rPr>
        <w:t>认真踏勘现场。在现场勘察时，熟悉施工现场、现场周围交通道路等情况，以获得一切可能影响其参与磋商的直接资料。供应商成交后，不得以不完全了解现场情况为理由而向采购单位提出任何索赔的要求，对此采购单位不承担任何责任</w:t>
      </w:r>
      <w:r>
        <w:rPr>
          <w:rFonts w:hint="eastAsia" w:hAnsi="宋体" w:cs="宋体"/>
          <w:color w:val="auto"/>
          <w:sz w:val="24"/>
          <w:szCs w:val="24"/>
          <w:highlight w:val="none"/>
        </w:rPr>
        <w:t>并将不作任何答复与考虑。</w:t>
      </w:r>
    </w:p>
    <w:p>
      <w:pPr>
        <w:snapToGrid w:val="0"/>
        <w:spacing w:line="480" w:lineRule="exact"/>
        <w:ind w:firstLine="480" w:firstLineChars="200"/>
        <w:outlineLvl w:val="1"/>
        <w:rPr>
          <w:rFonts w:hint="eastAsia" w:hAnsi="宋体" w:cs="宋体"/>
          <w:b/>
          <w:color w:val="auto"/>
          <w:sz w:val="24"/>
          <w:szCs w:val="24"/>
          <w:highlight w:val="none"/>
        </w:rPr>
      </w:pPr>
      <w:r>
        <w:rPr>
          <w:rFonts w:hint="eastAsia" w:hAnsi="宋体" w:cs="宋体"/>
          <w:b/>
          <w:color w:val="auto"/>
          <w:sz w:val="24"/>
          <w:szCs w:val="24"/>
          <w:highlight w:val="none"/>
        </w:rPr>
        <w:t>二、磋商文件的澄清、修改、答疑</w:t>
      </w:r>
    </w:p>
    <w:p>
      <w:pPr>
        <w:snapToGrid w:val="0"/>
        <w:spacing w:line="480" w:lineRule="exact"/>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1.代理机构有权对发出的磋商文件进行必要的澄清、修改或补充。</w:t>
      </w:r>
    </w:p>
    <w:p>
      <w:pPr>
        <w:snapToGrid w:val="0"/>
        <w:spacing w:line="480" w:lineRule="exact"/>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2.磋商文件的澄清、修改、补充等内容均以书面明确的形式发布，并以“南通市公共资源交易网”发布的信息为准。</w:t>
      </w:r>
    </w:p>
    <w:p>
      <w:pPr>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3.代理机构对磋商文件的澄清、修改将构成磋商文件的一部分，对响应磋商的供应商具有约束力。</w:t>
      </w:r>
    </w:p>
    <w:p>
      <w:pPr>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4.澄清或者修改的内容可能影响到响应文件编制的，代理机构将在提交响应文件接收截止之日5日前，发布澄清或者修改公告，不足5日的，当顺延提交响应文件接收截止时间。</w:t>
      </w:r>
    </w:p>
    <w:p>
      <w:pPr>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5.除非代理机构以书面的形式对磋商文件作出澄清、修改及补充，供应商对涉及磋商文件的任何推论、理解和结论所造成的结果，均由供应商自负。</w:t>
      </w:r>
    </w:p>
    <w:p>
      <w:pPr>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6.采购单位视情组织答疑会。如有产生答疑且对磋商文件内容有修改，代理机构将按照本须知有关规定，以补充通知（公告）的方式发出。</w:t>
      </w:r>
    </w:p>
    <w:p>
      <w:pPr>
        <w:snapToGrid w:val="0"/>
        <w:spacing w:line="480" w:lineRule="exact"/>
        <w:ind w:firstLine="480" w:firstLineChars="200"/>
        <w:outlineLvl w:val="1"/>
        <w:rPr>
          <w:rFonts w:hint="eastAsia" w:hAnsi="宋体" w:cs="宋体"/>
          <w:b/>
          <w:color w:val="auto"/>
          <w:sz w:val="24"/>
          <w:szCs w:val="24"/>
          <w:highlight w:val="none"/>
        </w:rPr>
      </w:pPr>
      <w:r>
        <w:rPr>
          <w:rFonts w:hint="eastAsia" w:hAnsi="宋体" w:cs="宋体"/>
          <w:b/>
          <w:color w:val="auto"/>
          <w:sz w:val="24"/>
          <w:szCs w:val="24"/>
          <w:highlight w:val="none"/>
        </w:rPr>
        <w:t>三、响应文件的编制及装订</w:t>
      </w:r>
    </w:p>
    <w:p>
      <w:pPr>
        <w:spacing w:line="480" w:lineRule="exact"/>
        <w:ind w:firstLine="484" w:firstLineChars="202"/>
        <w:rPr>
          <w:rFonts w:hint="eastAsia" w:hAnsi="宋体" w:cs="宋体"/>
          <w:color w:val="auto"/>
          <w:sz w:val="24"/>
          <w:szCs w:val="24"/>
          <w:highlight w:val="none"/>
        </w:rPr>
      </w:pPr>
      <w:r>
        <w:rPr>
          <w:rFonts w:hint="eastAsia" w:hAnsi="宋体" w:cs="宋体"/>
          <w:color w:val="auto"/>
          <w:sz w:val="24"/>
          <w:szCs w:val="24"/>
          <w:highlight w:val="none"/>
        </w:rPr>
        <w:t>供应商按磋商文件要求编写响应文件，并牢固装订成册。响应文件均需采用A4纸（图纸等除外），不要使用活页夹、拉杆夹、文件夹、塑料方便式书脊（插入式或穿孔式）装订。响应文件不得行间插字、涂改、增删，如修改错漏处，须经响应文件签署人签字并加盖公章。</w:t>
      </w:r>
    </w:p>
    <w:p>
      <w:pPr>
        <w:snapToGrid w:val="0"/>
        <w:spacing w:line="480" w:lineRule="exact"/>
        <w:ind w:firstLine="480" w:firstLineChars="200"/>
        <w:outlineLvl w:val="1"/>
        <w:rPr>
          <w:rFonts w:hint="eastAsia" w:hAnsi="宋体" w:cs="宋体"/>
          <w:b/>
          <w:bCs/>
          <w:color w:val="auto"/>
          <w:sz w:val="24"/>
          <w:szCs w:val="24"/>
          <w:highlight w:val="none"/>
        </w:rPr>
      </w:pPr>
      <w:r>
        <w:rPr>
          <w:rFonts w:hint="eastAsia" w:hAnsi="宋体" w:cs="宋体"/>
          <w:b/>
          <w:bCs/>
          <w:color w:val="auto"/>
          <w:sz w:val="24"/>
          <w:szCs w:val="24"/>
          <w:highlight w:val="none"/>
        </w:rPr>
        <w:t>四、响应文件的份数和签署</w:t>
      </w:r>
    </w:p>
    <w:p>
      <w:pPr>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1.响应文件由：</w:t>
      </w:r>
      <w:r>
        <w:rPr>
          <w:rFonts w:hint="eastAsia" w:hAnsi="宋体" w:cs="宋体"/>
          <w:color w:val="auto"/>
          <w:sz w:val="24"/>
          <w:szCs w:val="24"/>
          <w:highlight w:val="none"/>
        </w:rPr>
        <w:fldChar w:fldCharType="begin"/>
      </w:r>
      <w:r>
        <w:rPr>
          <w:rFonts w:hint="eastAsia" w:hAnsi="宋体" w:cs="宋体"/>
          <w:color w:val="auto"/>
          <w:sz w:val="24"/>
          <w:szCs w:val="24"/>
          <w:highlight w:val="none"/>
        </w:rPr>
        <w:instrText xml:space="preserve"> = 1 \* GB3 </w:instrText>
      </w:r>
      <w:r>
        <w:rPr>
          <w:rFonts w:hint="eastAsia" w:hAnsi="宋体" w:cs="宋体"/>
          <w:color w:val="auto"/>
          <w:sz w:val="24"/>
          <w:szCs w:val="24"/>
          <w:highlight w:val="none"/>
        </w:rPr>
        <w:fldChar w:fldCharType="separate"/>
      </w:r>
      <w:r>
        <w:rPr>
          <w:rFonts w:hint="eastAsia" w:hAnsi="宋体" w:cs="宋体"/>
          <w:color w:val="auto"/>
          <w:sz w:val="24"/>
          <w:szCs w:val="24"/>
          <w:highlight w:val="none"/>
        </w:rPr>
        <w:t>①</w:t>
      </w:r>
      <w:r>
        <w:rPr>
          <w:rFonts w:hint="eastAsia" w:hAnsi="宋体" w:cs="宋体"/>
          <w:color w:val="auto"/>
          <w:sz w:val="24"/>
          <w:szCs w:val="24"/>
          <w:highlight w:val="none"/>
        </w:rPr>
        <w:fldChar w:fldCharType="end"/>
      </w:r>
      <w:r>
        <w:rPr>
          <w:rFonts w:hint="eastAsia" w:hAnsi="宋体" w:cs="宋体"/>
          <w:color w:val="auto"/>
          <w:sz w:val="24"/>
          <w:szCs w:val="24"/>
          <w:highlight w:val="none"/>
        </w:rPr>
        <w:t>资格审查文件、</w:t>
      </w:r>
      <w:r>
        <w:rPr>
          <w:rFonts w:hint="eastAsia" w:hAnsi="宋体" w:cs="宋体"/>
          <w:color w:val="auto"/>
          <w:sz w:val="24"/>
          <w:szCs w:val="24"/>
          <w:highlight w:val="none"/>
        </w:rPr>
        <w:fldChar w:fldCharType="begin"/>
      </w:r>
      <w:r>
        <w:rPr>
          <w:rFonts w:hint="eastAsia" w:hAnsi="宋体" w:cs="宋体"/>
          <w:color w:val="auto"/>
          <w:sz w:val="24"/>
          <w:szCs w:val="24"/>
          <w:highlight w:val="none"/>
        </w:rPr>
        <w:instrText xml:space="preserve"> = 2 \* GB3 </w:instrText>
      </w:r>
      <w:r>
        <w:rPr>
          <w:rFonts w:hint="eastAsia" w:hAnsi="宋体" w:cs="宋体"/>
          <w:color w:val="auto"/>
          <w:sz w:val="24"/>
          <w:szCs w:val="24"/>
          <w:highlight w:val="none"/>
        </w:rPr>
        <w:fldChar w:fldCharType="separate"/>
      </w:r>
      <w:r>
        <w:rPr>
          <w:rFonts w:hint="eastAsia" w:hAnsi="宋体" w:cs="宋体"/>
          <w:color w:val="auto"/>
          <w:sz w:val="24"/>
          <w:szCs w:val="24"/>
          <w:highlight w:val="none"/>
        </w:rPr>
        <w:t>②</w:t>
      </w:r>
      <w:r>
        <w:rPr>
          <w:rFonts w:hint="eastAsia" w:hAnsi="宋体" w:cs="宋体"/>
          <w:color w:val="auto"/>
          <w:sz w:val="24"/>
          <w:szCs w:val="24"/>
          <w:highlight w:val="none"/>
        </w:rPr>
        <w:fldChar w:fldCharType="end"/>
      </w:r>
      <w:r>
        <w:rPr>
          <w:rFonts w:hint="eastAsia" w:hAnsi="宋体" w:cs="宋体"/>
          <w:color w:val="auto"/>
          <w:sz w:val="24"/>
          <w:szCs w:val="24"/>
          <w:highlight w:val="none"/>
        </w:rPr>
        <w:t>商务技术响应文件、③报价响应文件、</w:t>
      </w:r>
      <w:r>
        <w:rPr>
          <w:rFonts w:hint="eastAsia" w:hAnsi="宋体" w:cs="宋体"/>
          <w:color w:val="auto"/>
          <w:sz w:val="24"/>
          <w:szCs w:val="24"/>
          <w:highlight w:val="none"/>
        </w:rPr>
        <w:fldChar w:fldCharType="begin"/>
      </w:r>
      <w:r>
        <w:rPr>
          <w:rFonts w:hint="eastAsia" w:hAnsi="宋体" w:cs="宋体"/>
          <w:color w:val="auto"/>
          <w:sz w:val="24"/>
          <w:szCs w:val="24"/>
          <w:highlight w:val="none"/>
        </w:rPr>
        <w:instrText xml:space="preserve"> = 4 \* GB3 \* MERGEFORMAT </w:instrText>
      </w:r>
      <w:r>
        <w:rPr>
          <w:rFonts w:hint="eastAsia" w:hAnsi="宋体" w:cs="宋体"/>
          <w:color w:val="auto"/>
          <w:sz w:val="24"/>
          <w:szCs w:val="24"/>
          <w:highlight w:val="none"/>
        </w:rPr>
        <w:fldChar w:fldCharType="separate"/>
      </w:r>
      <w:r>
        <w:rPr>
          <w:rFonts w:hint="eastAsia" w:hAnsi="宋体" w:cs="宋体"/>
          <w:color w:val="auto"/>
          <w:sz w:val="24"/>
          <w:szCs w:val="24"/>
          <w:highlight w:val="none"/>
        </w:rPr>
        <w:t>④</w:t>
      </w:r>
      <w:r>
        <w:rPr>
          <w:rFonts w:hint="eastAsia" w:hAnsi="宋体" w:cs="宋体"/>
          <w:color w:val="auto"/>
          <w:sz w:val="24"/>
          <w:szCs w:val="24"/>
          <w:highlight w:val="none"/>
        </w:rPr>
        <w:fldChar w:fldCharType="end"/>
      </w:r>
      <w:r>
        <w:rPr>
          <w:rFonts w:hint="eastAsia" w:hAnsi="宋体" w:cs="宋体"/>
          <w:color w:val="auto"/>
          <w:sz w:val="24"/>
          <w:szCs w:val="24"/>
          <w:highlight w:val="none"/>
        </w:rPr>
        <w:t>响应文件电子版共4部分组成（以下由文件序号代称）。</w:t>
      </w:r>
    </w:p>
    <w:p>
      <w:pPr>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w:t>
      </w:r>
      <w:r>
        <w:rPr>
          <w:rFonts w:hint="eastAsia" w:hAnsi="宋体" w:cs="宋体"/>
          <w:color w:val="auto"/>
          <w:sz w:val="24"/>
          <w:szCs w:val="24"/>
          <w:highlight w:val="none"/>
        </w:rPr>
        <w:fldChar w:fldCharType="begin"/>
      </w:r>
      <w:r>
        <w:rPr>
          <w:rFonts w:hint="eastAsia" w:hAnsi="宋体" w:cs="宋体"/>
          <w:color w:val="auto"/>
          <w:sz w:val="24"/>
          <w:szCs w:val="24"/>
          <w:highlight w:val="none"/>
        </w:rPr>
        <w:instrText xml:space="preserve"> = 1 \* GB3 </w:instrText>
      </w:r>
      <w:r>
        <w:rPr>
          <w:rFonts w:hint="eastAsia" w:hAnsi="宋体" w:cs="宋体"/>
          <w:color w:val="auto"/>
          <w:sz w:val="24"/>
          <w:szCs w:val="24"/>
          <w:highlight w:val="none"/>
        </w:rPr>
        <w:fldChar w:fldCharType="separate"/>
      </w:r>
      <w:r>
        <w:rPr>
          <w:rFonts w:hint="eastAsia" w:hAnsi="宋体" w:cs="宋体"/>
          <w:color w:val="auto"/>
          <w:sz w:val="24"/>
          <w:szCs w:val="24"/>
          <w:highlight w:val="none"/>
        </w:rPr>
        <w:t>①</w:t>
      </w:r>
      <w:r>
        <w:rPr>
          <w:rFonts w:hint="eastAsia" w:hAnsi="宋体" w:cs="宋体"/>
          <w:color w:val="auto"/>
          <w:sz w:val="24"/>
          <w:szCs w:val="24"/>
          <w:highlight w:val="none"/>
        </w:rPr>
        <w:fldChar w:fldCharType="end"/>
      </w:r>
      <w:r>
        <w:rPr>
          <w:rFonts w:hint="eastAsia" w:hAnsi="宋体" w:cs="宋体"/>
          <w:color w:val="auto"/>
          <w:sz w:val="24"/>
          <w:szCs w:val="24"/>
          <w:highlight w:val="none"/>
        </w:rPr>
        <w:fldChar w:fldCharType="begin"/>
      </w:r>
      <w:r>
        <w:rPr>
          <w:rFonts w:hint="eastAsia" w:hAnsi="宋体" w:cs="宋体"/>
          <w:color w:val="auto"/>
          <w:sz w:val="24"/>
          <w:szCs w:val="24"/>
          <w:highlight w:val="none"/>
        </w:rPr>
        <w:instrText xml:space="preserve"> = 2 \* GB3 </w:instrText>
      </w:r>
      <w:r>
        <w:rPr>
          <w:rFonts w:hint="eastAsia" w:hAnsi="宋体" w:cs="宋体"/>
          <w:color w:val="auto"/>
          <w:sz w:val="24"/>
          <w:szCs w:val="24"/>
          <w:highlight w:val="none"/>
        </w:rPr>
        <w:fldChar w:fldCharType="separate"/>
      </w:r>
      <w:r>
        <w:rPr>
          <w:rFonts w:hint="eastAsia" w:hAnsi="宋体" w:cs="宋体"/>
          <w:color w:val="auto"/>
          <w:sz w:val="24"/>
          <w:szCs w:val="24"/>
          <w:highlight w:val="none"/>
        </w:rPr>
        <w:t>②</w:t>
      </w:r>
      <w:r>
        <w:rPr>
          <w:rFonts w:hint="eastAsia" w:hAnsi="宋体" w:cs="宋体"/>
          <w:color w:val="auto"/>
          <w:sz w:val="24"/>
          <w:szCs w:val="24"/>
          <w:highlight w:val="none"/>
        </w:rPr>
        <w:fldChar w:fldCharType="end"/>
      </w:r>
      <w:r>
        <w:rPr>
          <w:rFonts w:hint="eastAsia" w:hAnsi="宋体" w:cs="宋体"/>
          <w:color w:val="auto"/>
          <w:sz w:val="24"/>
          <w:szCs w:val="24"/>
          <w:highlight w:val="none"/>
        </w:rPr>
        <w:t>③响应文件均为一式贰份，其中“正本”和“副本”各壹份。</w:t>
      </w:r>
    </w:p>
    <w:p>
      <w:pPr>
        <w:snapToGrid w:val="0"/>
        <w:spacing w:line="480" w:lineRule="exact"/>
        <w:ind w:firstLine="480" w:firstLineChars="200"/>
        <w:rPr>
          <w:rFonts w:hint="eastAsia" w:hAnsi="宋体" w:cs="宋体"/>
          <w:b/>
          <w:bCs/>
          <w:color w:val="auto"/>
          <w:sz w:val="24"/>
          <w:szCs w:val="24"/>
          <w:highlight w:val="none"/>
          <w:u w:val="single"/>
        </w:rPr>
      </w:pPr>
      <w:r>
        <w:rPr>
          <w:rFonts w:hint="eastAsia" w:hAnsi="宋体" w:cs="宋体"/>
          <w:b/>
          <w:bCs/>
          <w:color w:val="auto"/>
          <w:sz w:val="24"/>
          <w:szCs w:val="24"/>
          <w:highlight w:val="none"/>
        </w:rPr>
        <w:t>3.</w:t>
      </w:r>
      <w:r>
        <w:rPr>
          <w:rFonts w:hint="eastAsia" w:hAnsi="宋体" w:cs="宋体"/>
          <w:b/>
          <w:bCs/>
          <w:color w:val="auto"/>
          <w:sz w:val="24"/>
          <w:szCs w:val="24"/>
          <w:highlight w:val="none"/>
        </w:rPr>
        <w:fldChar w:fldCharType="begin"/>
      </w:r>
      <w:r>
        <w:rPr>
          <w:rFonts w:hint="eastAsia" w:hAnsi="宋体" w:cs="宋体"/>
          <w:b/>
          <w:bCs/>
          <w:color w:val="auto"/>
          <w:sz w:val="24"/>
          <w:szCs w:val="24"/>
          <w:highlight w:val="none"/>
        </w:rPr>
        <w:instrText xml:space="preserve"> = 4 \* GB3 \* MERGEFORMAT </w:instrText>
      </w:r>
      <w:r>
        <w:rPr>
          <w:rFonts w:hint="eastAsia" w:hAnsi="宋体" w:cs="宋体"/>
          <w:b/>
          <w:bCs/>
          <w:color w:val="auto"/>
          <w:sz w:val="24"/>
          <w:szCs w:val="24"/>
          <w:highlight w:val="none"/>
        </w:rPr>
        <w:fldChar w:fldCharType="separate"/>
      </w:r>
      <w:r>
        <w:rPr>
          <w:rFonts w:hint="eastAsia" w:hAnsi="宋体" w:cs="宋体"/>
          <w:b/>
          <w:bCs/>
          <w:color w:val="auto"/>
          <w:sz w:val="24"/>
          <w:szCs w:val="24"/>
          <w:highlight w:val="none"/>
        </w:rPr>
        <w:t>④</w:t>
      </w:r>
      <w:r>
        <w:rPr>
          <w:rFonts w:hint="eastAsia" w:hAnsi="宋体" w:cs="宋体"/>
          <w:b/>
          <w:bCs/>
          <w:color w:val="auto"/>
          <w:sz w:val="24"/>
          <w:szCs w:val="24"/>
          <w:highlight w:val="none"/>
        </w:rPr>
        <w:fldChar w:fldCharType="end"/>
      </w:r>
      <w:r>
        <w:rPr>
          <w:rFonts w:hint="eastAsia" w:hAnsi="宋体" w:cs="宋体"/>
          <w:b/>
          <w:bCs/>
          <w:color w:val="auto"/>
          <w:sz w:val="24"/>
          <w:szCs w:val="24"/>
          <w:highlight w:val="none"/>
        </w:rPr>
        <w:t>响应文件电子版需将</w:t>
      </w:r>
      <w:r>
        <w:rPr>
          <w:rFonts w:hint="eastAsia" w:hAnsi="宋体" w:cs="宋体"/>
          <w:b/>
          <w:bCs/>
          <w:color w:val="auto"/>
          <w:sz w:val="24"/>
          <w:szCs w:val="24"/>
          <w:highlight w:val="none"/>
        </w:rPr>
        <w:fldChar w:fldCharType="begin"/>
      </w:r>
      <w:r>
        <w:rPr>
          <w:rFonts w:hint="eastAsia" w:hAnsi="宋体" w:cs="宋体"/>
          <w:b/>
          <w:bCs/>
          <w:color w:val="auto"/>
          <w:sz w:val="24"/>
          <w:szCs w:val="24"/>
          <w:highlight w:val="none"/>
        </w:rPr>
        <w:instrText xml:space="preserve"> = 1 \* GB3 </w:instrText>
      </w:r>
      <w:r>
        <w:rPr>
          <w:rFonts w:hint="eastAsia" w:hAnsi="宋体" w:cs="宋体"/>
          <w:b/>
          <w:bCs/>
          <w:color w:val="auto"/>
          <w:sz w:val="24"/>
          <w:szCs w:val="24"/>
          <w:highlight w:val="none"/>
        </w:rPr>
        <w:fldChar w:fldCharType="separate"/>
      </w:r>
      <w:r>
        <w:rPr>
          <w:rFonts w:hint="eastAsia" w:hAnsi="宋体" w:cs="宋体"/>
          <w:b/>
          <w:bCs/>
          <w:color w:val="auto"/>
          <w:sz w:val="24"/>
          <w:szCs w:val="24"/>
          <w:highlight w:val="none"/>
        </w:rPr>
        <w:t>①</w:t>
      </w:r>
      <w:r>
        <w:rPr>
          <w:rFonts w:hint="eastAsia" w:hAnsi="宋体" w:cs="宋体"/>
          <w:b/>
          <w:bCs/>
          <w:color w:val="auto"/>
          <w:sz w:val="24"/>
          <w:szCs w:val="24"/>
          <w:highlight w:val="none"/>
        </w:rPr>
        <w:fldChar w:fldCharType="end"/>
      </w:r>
      <w:r>
        <w:rPr>
          <w:rFonts w:hint="eastAsia" w:hAnsi="宋体" w:cs="宋体"/>
          <w:b/>
          <w:bCs/>
          <w:color w:val="auto"/>
          <w:sz w:val="24"/>
          <w:szCs w:val="24"/>
          <w:highlight w:val="none"/>
        </w:rPr>
        <w:fldChar w:fldCharType="begin"/>
      </w:r>
      <w:r>
        <w:rPr>
          <w:rFonts w:hint="eastAsia" w:hAnsi="宋体" w:cs="宋体"/>
          <w:b/>
          <w:bCs/>
          <w:color w:val="auto"/>
          <w:sz w:val="24"/>
          <w:szCs w:val="24"/>
          <w:highlight w:val="none"/>
        </w:rPr>
        <w:instrText xml:space="preserve"> = 2 \* GB3 </w:instrText>
      </w:r>
      <w:r>
        <w:rPr>
          <w:rFonts w:hint="eastAsia" w:hAnsi="宋体" w:cs="宋体"/>
          <w:b/>
          <w:bCs/>
          <w:color w:val="auto"/>
          <w:sz w:val="24"/>
          <w:szCs w:val="24"/>
          <w:highlight w:val="none"/>
        </w:rPr>
        <w:fldChar w:fldCharType="separate"/>
      </w:r>
      <w:r>
        <w:rPr>
          <w:rFonts w:hint="eastAsia" w:hAnsi="宋体" w:cs="宋体"/>
          <w:b/>
          <w:bCs/>
          <w:color w:val="auto"/>
          <w:sz w:val="24"/>
          <w:szCs w:val="24"/>
          <w:highlight w:val="none"/>
        </w:rPr>
        <w:t>②</w:t>
      </w:r>
      <w:r>
        <w:rPr>
          <w:rFonts w:hint="eastAsia" w:hAnsi="宋体" w:cs="宋体"/>
          <w:b/>
          <w:bCs/>
          <w:color w:val="auto"/>
          <w:sz w:val="24"/>
          <w:szCs w:val="24"/>
          <w:highlight w:val="none"/>
        </w:rPr>
        <w:fldChar w:fldCharType="end"/>
      </w:r>
      <w:r>
        <w:rPr>
          <w:rFonts w:hint="eastAsia" w:hAnsi="宋体" w:cs="宋体"/>
          <w:b/>
          <w:bCs/>
          <w:color w:val="auto"/>
          <w:sz w:val="24"/>
          <w:szCs w:val="24"/>
          <w:highlight w:val="none"/>
        </w:rPr>
        <w:t>③的正本盖章后扫描一份存于U盘中，单独密封递交。</w:t>
      </w:r>
    </w:p>
    <w:p>
      <w:pPr>
        <w:snapToGrid w:val="0"/>
        <w:spacing w:line="480" w:lineRule="exact"/>
        <w:ind w:firstLine="470" w:firstLineChars="196"/>
        <w:rPr>
          <w:rFonts w:hint="eastAsia" w:hAnsi="宋体" w:cs="宋体"/>
          <w:color w:val="auto"/>
          <w:sz w:val="24"/>
          <w:szCs w:val="24"/>
          <w:highlight w:val="none"/>
        </w:rPr>
      </w:pPr>
      <w:r>
        <w:rPr>
          <w:rFonts w:hint="eastAsia" w:hAnsi="宋体" w:cs="宋体"/>
          <w:color w:val="auto"/>
          <w:sz w:val="24"/>
          <w:szCs w:val="24"/>
          <w:highlight w:val="none"/>
        </w:rPr>
        <w:t>4.在每份响应文件上要明确标注项目名称、对应的响应文件名称、供应商的全称、日期、“正本”“副本”字样。“正本”和“副本”若有差异，概以“正本”为准。</w:t>
      </w:r>
    </w:p>
    <w:p>
      <w:pPr>
        <w:snapToGrid w:val="0"/>
        <w:spacing w:line="480" w:lineRule="exact"/>
        <w:ind w:firstLine="470" w:firstLineChars="196"/>
        <w:rPr>
          <w:rFonts w:hint="eastAsia" w:hAnsi="宋体" w:cs="宋体"/>
          <w:color w:val="auto"/>
          <w:sz w:val="24"/>
          <w:szCs w:val="24"/>
          <w:highlight w:val="none"/>
        </w:rPr>
      </w:pPr>
      <w:r>
        <w:rPr>
          <w:rFonts w:hint="eastAsia" w:hAnsi="宋体" w:cs="宋体"/>
          <w:color w:val="auto"/>
          <w:sz w:val="24"/>
          <w:szCs w:val="24"/>
          <w:highlight w:val="none"/>
        </w:rPr>
        <w:t>5.响应文件中的所有“正本”，其正文内容须按磋商文件要求由供应商法定代表人或被授权人签字（或盖章）并加盖单位公章。“副本”可复印，但须加盖单位公章。</w:t>
      </w:r>
    </w:p>
    <w:p>
      <w:pPr>
        <w:snapToGrid w:val="0"/>
        <w:spacing w:line="480" w:lineRule="exact"/>
        <w:ind w:firstLine="470" w:firstLineChars="196"/>
        <w:rPr>
          <w:rFonts w:hint="eastAsia" w:hAnsi="宋体" w:cs="宋体"/>
          <w:b/>
          <w:bCs/>
          <w:color w:val="auto"/>
          <w:sz w:val="24"/>
          <w:szCs w:val="24"/>
          <w:highlight w:val="none"/>
        </w:rPr>
      </w:pPr>
      <w:r>
        <w:rPr>
          <w:rFonts w:hint="eastAsia" w:hAnsi="宋体" w:cs="宋体"/>
          <w:b/>
          <w:bCs/>
          <w:color w:val="auto"/>
          <w:sz w:val="24"/>
          <w:szCs w:val="24"/>
          <w:highlight w:val="none"/>
        </w:rPr>
        <w:t>五、响应文件的密封及标记</w:t>
      </w:r>
    </w:p>
    <w:p>
      <w:pPr>
        <w:snapToGrid w:val="0"/>
        <w:spacing w:line="480" w:lineRule="exact"/>
        <w:ind w:firstLine="480" w:firstLineChars="200"/>
        <w:rPr>
          <w:rFonts w:hint="eastAsia" w:hAnsi="宋体" w:cs="宋体"/>
          <w:color w:val="auto"/>
          <w:sz w:val="24"/>
          <w:szCs w:val="24"/>
          <w:highlight w:val="none"/>
          <w:u w:val="single"/>
        </w:rPr>
      </w:pPr>
      <w:r>
        <w:rPr>
          <w:rFonts w:hint="eastAsia" w:hAnsi="宋体" w:cs="宋体"/>
          <w:color w:val="auto"/>
          <w:sz w:val="24"/>
          <w:szCs w:val="24"/>
          <w:highlight w:val="none"/>
        </w:rPr>
        <w:t>1.供应商须将本项目响应文件：</w:t>
      </w:r>
      <w:r>
        <w:rPr>
          <w:rFonts w:hint="eastAsia" w:hAnsi="宋体" w:cs="宋体"/>
          <w:color w:val="auto"/>
          <w:sz w:val="24"/>
          <w:szCs w:val="24"/>
          <w:highlight w:val="none"/>
        </w:rPr>
        <w:fldChar w:fldCharType="begin"/>
      </w:r>
      <w:r>
        <w:rPr>
          <w:rFonts w:hint="eastAsia" w:hAnsi="宋体" w:cs="宋体"/>
          <w:color w:val="auto"/>
          <w:sz w:val="24"/>
          <w:szCs w:val="24"/>
          <w:highlight w:val="none"/>
        </w:rPr>
        <w:instrText xml:space="preserve"> = 1 \* GB3 </w:instrText>
      </w:r>
      <w:r>
        <w:rPr>
          <w:rFonts w:hint="eastAsia" w:hAnsi="宋体" w:cs="宋体"/>
          <w:color w:val="auto"/>
          <w:sz w:val="24"/>
          <w:szCs w:val="24"/>
          <w:highlight w:val="none"/>
        </w:rPr>
        <w:fldChar w:fldCharType="separate"/>
      </w:r>
      <w:r>
        <w:rPr>
          <w:rFonts w:hint="eastAsia" w:hAnsi="宋体" w:cs="宋体"/>
          <w:color w:val="auto"/>
          <w:sz w:val="24"/>
          <w:szCs w:val="24"/>
          <w:highlight w:val="none"/>
        </w:rPr>
        <w:t>①</w:t>
      </w:r>
      <w:r>
        <w:rPr>
          <w:rFonts w:hint="eastAsia" w:hAnsi="宋体" w:cs="宋体"/>
          <w:color w:val="auto"/>
          <w:sz w:val="24"/>
          <w:szCs w:val="24"/>
          <w:highlight w:val="none"/>
        </w:rPr>
        <w:fldChar w:fldCharType="end"/>
      </w:r>
      <w:r>
        <w:rPr>
          <w:rFonts w:hint="eastAsia" w:hAnsi="宋体" w:cs="宋体"/>
          <w:color w:val="auto"/>
          <w:sz w:val="24"/>
          <w:szCs w:val="24"/>
          <w:highlight w:val="none"/>
        </w:rPr>
        <w:t>、</w:t>
      </w:r>
      <w:r>
        <w:rPr>
          <w:rFonts w:hint="eastAsia" w:hAnsi="宋体" w:cs="宋体"/>
          <w:color w:val="auto"/>
          <w:sz w:val="24"/>
          <w:szCs w:val="24"/>
          <w:highlight w:val="none"/>
        </w:rPr>
        <w:fldChar w:fldCharType="begin"/>
      </w:r>
      <w:r>
        <w:rPr>
          <w:rFonts w:hint="eastAsia" w:hAnsi="宋体" w:cs="宋体"/>
          <w:color w:val="auto"/>
          <w:sz w:val="24"/>
          <w:szCs w:val="24"/>
          <w:highlight w:val="none"/>
        </w:rPr>
        <w:instrText xml:space="preserve"> = 2 \* GB3 </w:instrText>
      </w:r>
      <w:r>
        <w:rPr>
          <w:rFonts w:hint="eastAsia" w:hAnsi="宋体" w:cs="宋体"/>
          <w:color w:val="auto"/>
          <w:sz w:val="24"/>
          <w:szCs w:val="24"/>
          <w:highlight w:val="none"/>
        </w:rPr>
        <w:fldChar w:fldCharType="separate"/>
      </w:r>
      <w:r>
        <w:rPr>
          <w:rFonts w:hint="eastAsia" w:hAnsi="宋体" w:cs="宋体"/>
          <w:color w:val="auto"/>
          <w:sz w:val="24"/>
          <w:szCs w:val="24"/>
          <w:highlight w:val="none"/>
        </w:rPr>
        <w:t>②</w:t>
      </w:r>
      <w:r>
        <w:rPr>
          <w:rFonts w:hint="eastAsia" w:hAnsi="宋体" w:cs="宋体"/>
          <w:color w:val="auto"/>
          <w:sz w:val="24"/>
          <w:szCs w:val="24"/>
          <w:highlight w:val="none"/>
        </w:rPr>
        <w:fldChar w:fldCharType="end"/>
      </w:r>
      <w:r>
        <w:rPr>
          <w:rFonts w:hint="eastAsia" w:hAnsi="宋体" w:cs="宋体"/>
          <w:color w:val="auto"/>
          <w:sz w:val="24"/>
          <w:szCs w:val="24"/>
          <w:highlight w:val="none"/>
        </w:rPr>
        <w:t>、</w:t>
      </w:r>
      <w:r>
        <w:rPr>
          <w:rFonts w:hAnsi="宋体" w:cs="宋体"/>
          <w:color w:val="auto"/>
          <w:sz w:val="24"/>
          <w:szCs w:val="24"/>
          <w:highlight w:val="none"/>
        </w:rPr>
        <w:fldChar w:fldCharType="begin"/>
      </w:r>
      <w:r>
        <w:rPr>
          <w:rFonts w:hAnsi="宋体" w:cs="宋体"/>
          <w:color w:val="auto"/>
          <w:sz w:val="24"/>
          <w:szCs w:val="24"/>
          <w:highlight w:val="none"/>
        </w:rPr>
        <w:instrText xml:space="preserve"> </w:instrText>
      </w:r>
      <w:r>
        <w:rPr>
          <w:rFonts w:hint="eastAsia" w:hAnsi="宋体" w:cs="宋体"/>
          <w:color w:val="auto"/>
          <w:sz w:val="24"/>
          <w:szCs w:val="24"/>
          <w:highlight w:val="none"/>
        </w:rPr>
        <w:instrText xml:space="preserve">= 3 \* GB3</w:instrText>
      </w:r>
      <w:r>
        <w:rPr>
          <w:rFonts w:hAnsi="宋体" w:cs="宋体"/>
          <w:color w:val="auto"/>
          <w:sz w:val="24"/>
          <w:szCs w:val="24"/>
          <w:highlight w:val="none"/>
        </w:rPr>
        <w:instrText xml:space="preserve"> </w:instrText>
      </w:r>
      <w:r>
        <w:rPr>
          <w:rFonts w:hAnsi="宋体" w:cs="宋体"/>
          <w:color w:val="auto"/>
          <w:sz w:val="24"/>
          <w:szCs w:val="24"/>
          <w:highlight w:val="none"/>
        </w:rPr>
        <w:fldChar w:fldCharType="separate"/>
      </w:r>
      <w:r>
        <w:rPr>
          <w:rFonts w:hint="eastAsia" w:hAnsi="宋体" w:cs="宋体"/>
          <w:color w:val="auto"/>
          <w:sz w:val="24"/>
          <w:szCs w:val="24"/>
          <w:highlight w:val="none"/>
        </w:rPr>
        <w:t>③</w:t>
      </w:r>
      <w:r>
        <w:rPr>
          <w:rFonts w:hAnsi="宋体" w:cs="宋体"/>
          <w:color w:val="auto"/>
          <w:sz w:val="24"/>
          <w:szCs w:val="24"/>
          <w:highlight w:val="none"/>
        </w:rPr>
        <w:fldChar w:fldCharType="end"/>
      </w:r>
      <w:r>
        <w:rPr>
          <w:rFonts w:hint="eastAsia" w:hAnsi="宋体" w:cs="宋体"/>
          <w:color w:val="auto"/>
          <w:sz w:val="24"/>
          <w:szCs w:val="24"/>
          <w:highlight w:val="none"/>
        </w:rPr>
        <w:t>、</w:t>
      </w:r>
      <w:r>
        <w:rPr>
          <w:rFonts w:hint="eastAsia" w:hAnsi="宋体" w:cs="宋体"/>
          <w:color w:val="auto"/>
          <w:sz w:val="24"/>
          <w:szCs w:val="24"/>
          <w:highlight w:val="none"/>
        </w:rPr>
        <w:fldChar w:fldCharType="begin"/>
      </w:r>
      <w:r>
        <w:rPr>
          <w:rFonts w:hint="eastAsia" w:hAnsi="宋体" w:cs="宋体"/>
          <w:color w:val="auto"/>
          <w:sz w:val="24"/>
          <w:szCs w:val="24"/>
          <w:highlight w:val="none"/>
        </w:rPr>
        <w:instrText xml:space="preserve"> = 4 \* GB3 \* MERGEFORMAT </w:instrText>
      </w:r>
      <w:r>
        <w:rPr>
          <w:rFonts w:hint="eastAsia" w:hAnsi="宋体" w:cs="宋体"/>
          <w:color w:val="auto"/>
          <w:sz w:val="24"/>
          <w:szCs w:val="24"/>
          <w:highlight w:val="none"/>
        </w:rPr>
        <w:fldChar w:fldCharType="separate"/>
      </w:r>
      <w:r>
        <w:rPr>
          <w:rFonts w:hint="eastAsia" w:hAnsi="宋体" w:cs="宋体"/>
          <w:color w:val="auto"/>
          <w:sz w:val="24"/>
          <w:szCs w:val="24"/>
          <w:highlight w:val="none"/>
        </w:rPr>
        <w:t>④</w:t>
      </w:r>
      <w:r>
        <w:rPr>
          <w:rFonts w:hint="eastAsia" w:hAnsi="宋体" w:cs="宋体"/>
          <w:color w:val="auto"/>
          <w:sz w:val="24"/>
          <w:szCs w:val="24"/>
          <w:highlight w:val="none"/>
        </w:rPr>
        <w:fldChar w:fldCharType="end"/>
      </w:r>
      <w:r>
        <w:rPr>
          <w:rFonts w:hint="eastAsia" w:hAnsi="宋体" w:cs="宋体"/>
          <w:b/>
          <w:color w:val="auto"/>
          <w:sz w:val="24"/>
          <w:szCs w:val="24"/>
          <w:highlight w:val="none"/>
          <w:u w:val="double"/>
        </w:rPr>
        <w:t>单独密封</w:t>
      </w:r>
      <w:r>
        <w:rPr>
          <w:rFonts w:hint="eastAsia" w:hAnsi="宋体" w:cs="宋体"/>
          <w:color w:val="auto"/>
          <w:sz w:val="24"/>
          <w:szCs w:val="24"/>
          <w:highlight w:val="none"/>
        </w:rPr>
        <w:t>。</w:t>
      </w:r>
    </w:p>
    <w:p>
      <w:pPr>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2.密封后，应在每一密封的响应文件上明确标注磋商项目名称、响应文件各自对应的名称、供应商的全称及日期。</w:t>
      </w:r>
    </w:p>
    <w:p>
      <w:pPr>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3.在边缝处加盖供应商公章或骑缝签字。</w:t>
      </w:r>
    </w:p>
    <w:p>
      <w:pPr>
        <w:snapToGrid w:val="0"/>
        <w:spacing w:line="480" w:lineRule="exact"/>
        <w:ind w:firstLine="480" w:firstLineChars="200"/>
        <w:rPr>
          <w:rFonts w:hint="eastAsia" w:hAnsi="宋体" w:cs="宋体"/>
          <w:color w:val="auto"/>
          <w:sz w:val="24"/>
          <w:szCs w:val="24"/>
          <w:highlight w:val="none"/>
        </w:rPr>
      </w:pPr>
      <w:r>
        <w:rPr>
          <w:rFonts w:hint="eastAsia" w:hAnsi="宋体" w:cs="宋体"/>
          <w:b/>
          <w:color w:val="auto"/>
          <w:sz w:val="24"/>
          <w:szCs w:val="24"/>
          <w:highlight w:val="none"/>
        </w:rPr>
        <w:t>【特别提醒】</w:t>
      </w:r>
      <w:r>
        <w:rPr>
          <w:rFonts w:hint="eastAsia" w:hAnsi="宋体" w:cs="宋体"/>
          <w:color w:val="auto"/>
          <w:sz w:val="24"/>
          <w:szCs w:val="24"/>
          <w:highlight w:val="none"/>
        </w:rPr>
        <w:t>响应文件中的</w:t>
      </w:r>
      <w:r>
        <w:rPr>
          <w:rFonts w:hint="eastAsia" w:hAnsi="宋体" w:cs="宋体"/>
          <w:color w:val="auto"/>
          <w:sz w:val="24"/>
          <w:szCs w:val="24"/>
          <w:highlight w:val="none"/>
        </w:rPr>
        <w:fldChar w:fldCharType="begin"/>
      </w:r>
      <w:r>
        <w:rPr>
          <w:rFonts w:hint="eastAsia" w:hAnsi="宋体" w:cs="宋体"/>
          <w:color w:val="auto"/>
          <w:sz w:val="24"/>
          <w:szCs w:val="24"/>
          <w:highlight w:val="none"/>
        </w:rPr>
        <w:instrText xml:space="preserve"> = 1 \* GB3 </w:instrText>
      </w:r>
      <w:r>
        <w:rPr>
          <w:rFonts w:hint="eastAsia" w:hAnsi="宋体" w:cs="宋体"/>
          <w:color w:val="auto"/>
          <w:sz w:val="24"/>
          <w:szCs w:val="24"/>
          <w:highlight w:val="none"/>
        </w:rPr>
        <w:fldChar w:fldCharType="separate"/>
      </w:r>
      <w:r>
        <w:rPr>
          <w:rFonts w:hint="eastAsia" w:hAnsi="宋体" w:cs="宋体"/>
          <w:color w:val="auto"/>
          <w:sz w:val="24"/>
          <w:szCs w:val="24"/>
          <w:highlight w:val="none"/>
        </w:rPr>
        <w:t>①</w:t>
      </w:r>
      <w:r>
        <w:rPr>
          <w:rFonts w:hint="eastAsia" w:hAnsi="宋体" w:cs="宋体"/>
          <w:color w:val="auto"/>
          <w:sz w:val="24"/>
          <w:szCs w:val="24"/>
          <w:highlight w:val="none"/>
        </w:rPr>
        <w:fldChar w:fldCharType="end"/>
      </w:r>
      <w:r>
        <w:rPr>
          <w:rFonts w:hint="eastAsia" w:hAnsi="宋体" w:cs="宋体"/>
          <w:color w:val="auto"/>
          <w:sz w:val="24"/>
          <w:szCs w:val="24"/>
          <w:highlight w:val="none"/>
        </w:rPr>
        <w:t>和</w:t>
      </w:r>
      <w:r>
        <w:rPr>
          <w:rFonts w:hint="eastAsia" w:hAnsi="宋体" w:cs="宋体"/>
          <w:color w:val="auto"/>
          <w:sz w:val="24"/>
          <w:szCs w:val="24"/>
          <w:highlight w:val="none"/>
        </w:rPr>
        <w:fldChar w:fldCharType="begin"/>
      </w:r>
      <w:r>
        <w:rPr>
          <w:rFonts w:hint="eastAsia" w:hAnsi="宋体" w:cs="宋体"/>
          <w:color w:val="auto"/>
          <w:sz w:val="24"/>
          <w:szCs w:val="24"/>
          <w:highlight w:val="none"/>
        </w:rPr>
        <w:instrText xml:space="preserve"> = 2 \* GB3 </w:instrText>
      </w:r>
      <w:r>
        <w:rPr>
          <w:rFonts w:hint="eastAsia" w:hAnsi="宋体" w:cs="宋体"/>
          <w:color w:val="auto"/>
          <w:sz w:val="24"/>
          <w:szCs w:val="24"/>
          <w:highlight w:val="none"/>
        </w:rPr>
        <w:fldChar w:fldCharType="separate"/>
      </w:r>
      <w:r>
        <w:rPr>
          <w:rFonts w:hint="eastAsia" w:hAnsi="宋体" w:cs="宋体"/>
          <w:color w:val="auto"/>
          <w:sz w:val="24"/>
          <w:szCs w:val="24"/>
          <w:highlight w:val="none"/>
        </w:rPr>
        <w:t>②</w:t>
      </w:r>
      <w:r>
        <w:rPr>
          <w:rFonts w:hint="eastAsia" w:hAnsi="宋体" w:cs="宋体"/>
          <w:color w:val="auto"/>
          <w:sz w:val="24"/>
          <w:szCs w:val="24"/>
          <w:highlight w:val="none"/>
        </w:rPr>
        <w:fldChar w:fldCharType="end"/>
      </w:r>
      <w:r>
        <w:rPr>
          <w:rFonts w:hint="eastAsia" w:hAnsi="宋体" w:cs="宋体"/>
          <w:color w:val="auto"/>
          <w:sz w:val="24"/>
          <w:szCs w:val="24"/>
          <w:highlight w:val="none"/>
        </w:rPr>
        <w:t>的“正本”或“副本”中，均不得含有报价响应文件中报价表（报价单）内的任何项目价格，否则作无效响应处理。</w:t>
      </w:r>
    </w:p>
    <w:p>
      <w:pPr>
        <w:snapToGrid w:val="0"/>
        <w:spacing w:line="480" w:lineRule="exact"/>
        <w:ind w:firstLine="494" w:firstLineChars="206"/>
        <w:outlineLvl w:val="1"/>
        <w:rPr>
          <w:rFonts w:hint="eastAsia" w:hAnsi="宋体" w:cs="宋体"/>
          <w:b/>
          <w:bCs/>
          <w:color w:val="auto"/>
          <w:sz w:val="24"/>
          <w:szCs w:val="24"/>
          <w:highlight w:val="none"/>
        </w:rPr>
      </w:pPr>
      <w:r>
        <w:rPr>
          <w:rFonts w:hint="eastAsia" w:hAnsi="宋体" w:cs="宋体"/>
          <w:b/>
          <w:bCs/>
          <w:color w:val="auto"/>
          <w:sz w:val="24"/>
          <w:szCs w:val="24"/>
          <w:highlight w:val="none"/>
        </w:rPr>
        <w:t>六、磋商报价</w:t>
      </w:r>
    </w:p>
    <w:p>
      <w:pPr>
        <w:snapToGrid w:val="0"/>
        <w:spacing w:line="480" w:lineRule="exact"/>
        <w:ind w:firstLine="494" w:firstLineChars="206"/>
        <w:rPr>
          <w:rFonts w:hint="eastAsia" w:ascii="宋体" w:hAnsi="宋体" w:cs="宋体"/>
          <w:color w:val="auto"/>
          <w:sz w:val="24"/>
          <w:szCs w:val="24"/>
          <w:highlight w:val="none"/>
        </w:rPr>
      </w:pPr>
      <w:r>
        <w:rPr>
          <w:rFonts w:hint="eastAsia" w:ascii="宋体" w:hAnsi="宋体" w:cs="宋体"/>
          <w:color w:val="auto"/>
          <w:sz w:val="24"/>
          <w:szCs w:val="24"/>
          <w:highlight w:val="none"/>
        </w:rPr>
        <w:t>1.磋商报价均以人民币为报价的币种。</w:t>
      </w:r>
    </w:p>
    <w:p>
      <w:pPr>
        <w:snapToGrid w:val="0"/>
        <w:spacing w:line="520" w:lineRule="exact"/>
        <w:ind w:firstLine="494" w:firstLineChars="206"/>
        <w:rPr>
          <w:rFonts w:hint="eastAsia" w:ascii="宋体" w:hAnsi="宋体" w:cs="宋体"/>
          <w:color w:val="auto"/>
          <w:sz w:val="24"/>
          <w:szCs w:val="24"/>
          <w:highlight w:val="none"/>
        </w:rPr>
      </w:pPr>
      <w:r>
        <w:rPr>
          <w:rFonts w:hint="eastAsia" w:ascii="宋体" w:hAnsi="宋体" w:cs="宋体"/>
          <w:color w:val="auto"/>
          <w:sz w:val="24"/>
          <w:szCs w:val="24"/>
          <w:highlight w:val="none"/>
        </w:rPr>
        <w:t>2.磋商报价表必须加盖单位公章且必须经法定代表人或被授权人签字或盖章。报价表中的大写金额与小写金额、总价金额与按单价汇总金额，若有差异，将按下列条款执行：</w:t>
      </w:r>
    </w:p>
    <w:p>
      <w:pPr>
        <w:snapToGrid w:val="0"/>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（1）磋商响应文件中开标一览表（报价表）内容与磋商响应文件中相应内容不一致的，以开标一览表（报价表）为准；</w:t>
      </w:r>
    </w:p>
    <w:p>
      <w:pPr>
        <w:snapToGrid w:val="0"/>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（2）大写金额和小写金额不一致的，以大写金额为准；</w:t>
      </w:r>
    </w:p>
    <w:p>
      <w:pPr>
        <w:snapToGrid w:val="0"/>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（3）单价金额小数点或者百分比有明显错位的，以开标一览表的总价为准，并修改单价；</w:t>
      </w:r>
    </w:p>
    <w:p>
      <w:pPr>
        <w:snapToGrid w:val="0"/>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（4）总价金额与按单价汇总金额不一致的，以单价金额计算结果为准。</w:t>
      </w:r>
    </w:p>
    <w:p>
      <w:pPr>
        <w:snapToGrid w:val="0"/>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（5）同时出现两种以上不一致的，按照前款规定的顺序修正。修正后的报价供应商确认后产生约束力，供应商不确认的，其投标无效。</w:t>
      </w:r>
    </w:p>
    <w:p>
      <w:pPr>
        <w:snapToGrid w:val="0"/>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3.供应商应按本竞争性磋商文件内项目需求的全部内容计算单价和总价。</w:t>
      </w:r>
    </w:p>
    <w:p>
      <w:pPr>
        <w:snapToGrid w:val="0"/>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4.投标总报价（以人民币计价）应包含但不限于如下费用：</w:t>
      </w:r>
    </w:p>
    <w:p>
      <w:pPr>
        <w:snapToGrid w:val="0"/>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场地设计与布置费用，包括但不限于展台的设计、制作、安装、拆卸、运输费用，以及搭建临时用电费、特装管理费、施工管理费、施工证件费、施工车证费、展台押金、加班费、保险费、卫生保洁费、垃圾处理费、安保等费用；</w:t>
      </w:r>
    </w:p>
    <w:p>
      <w:pPr>
        <w:snapToGrid w:val="0"/>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宣传推广费用，包括但不限于各类推广手段的广告投放，宣传物料制作；</w:t>
      </w:r>
    </w:p>
    <w:p>
      <w:pPr>
        <w:snapToGrid w:val="0"/>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其他费用，包括但不限于保险（公共责任险及火灾险等各类保险费用）、协调、办理相关手续、各类临时活动的配合措施、安保措施、管理费用、利润、税金等工作所发生的全部费用和政策性文件规定及合同包含的所有风险、责任，即响应项目需求中的全部工作量和服务及完成本项目工作所需的一切费用。</w:t>
      </w:r>
    </w:p>
    <w:p>
      <w:pPr>
        <w:snapToGrid w:val="0"/>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5.竞争性磋商的最终报价为成交价。同时，供应商的最终成交价在合同实施期间不因市场变化因素而变动。</w:t>
      </w:r>
    </w:p>
    <w:p>
      <w:pPr>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供应商应详细阅读竞争性磋商文件的全部内容，根据采购项目需求，准确制定相关工作方案等，必须对本采购项目全部进行报价，如有漏项，视同对本项目的优惠。不按竞争性磋商文件的要求提供响应文件，导致报价无效，作无效标处理。</w:t>
      </w:r>
    </w:p>
    <w:p>
      <w:pPr>
        <w:snapToGrid w:val="0"/>
        <w:spacing w:line="500" w:lineRule="exact"/>
        <w:ind w:firstLine="494" w:firstLineChars="206"/>
        <w:rPr>
          <w:rFonts w:hint="eastAsia" w:ascii="宋体" w:hAnsi="宋体" w:cs="宋体"/>
          <w:color w:val="auto"/>
          <w:sz w:val="24"/>
          <w:szCs w:val="24"/>
          <w:highlight w:val="none"/>
        </w:rPr>
      </w:pPr>
      <w:r>
        <w:rPr>
          <w:rFonts w:hint="eastAsia" w:ascii="宋体" w:hAnsi="宋体" w:cs="宋体"/>
          <w:color w:val="auto"/>
          <w:sz w:val="24"/>
          <w:szCs w:val="24"/>
          <w:highlight w:val="none"/>
        </w:rPr>
        <w:t>7.本项目供应商独立承担用人风险，自行制订防范用人风险方案，包括但不限于购买意外伤害险等措施降低用人风险。用人单位自行建立风险管理调控机制，对意外伤害或工伤等风险充分预估，报价时自行考虑，一旦出现上述问题，采购单位不承担任何连带赔偿责任。</w:t>
      </w:r>
    </w:p>
    <w:p>
      <w:pPr>
        <w:snapToGrid w:val="0"/>
        <w:spacing w:line="480" w:lineRule="exact"/>
        <w:ind w:firstLine="494" w:firstLineChars="206"/>
        <w:rPr>
          <w:rFonts w:hint="eastAsia" w:ascii="宋体" w:hAnsi="宋体" w:cs="宋体"/>
          <w:color w:val="auto"/>
          <w:sz w:val="24"/>
          <w:szCs w:val="24"/>
          <w:highlight w:val="none"/>
        </w:rPr>
      </w:pPr>
      <w:r>
        <w:rPr>
          <w:rFonts w:hint="eastAsia" w:ascii="宋体" w:hAnsi="宋体" w:cs="宋体"/>
          <w:color w:val="auto"/>
          <w:sz w:val="24"/>
          <w:szCs w:val="24"/>
          <w:highlight w:val="none"/>
        </w:rPr>
        <w:t>8.最低的磋商报价是成交的重要条件，但不是成交的唯一条件。</w:t>
      </w:r>
    </w:p>
    <w:p>
      <w:pPr>
        <w:snapToGrid w:val="0"/>
        <w:spacing w:line="480" w:lineRule="exact"/>
        <w:ind w:firstLine="494" w:firstLineChars="206"/>
        <w:outlineLvl w:val="1"/>
        <w:rPr>
          <w:rFonts w:hint="eastAsia" w:hAnsi="宋体" w:cs="宋体"/>
          <w:b/>
          <w:bCs/>
          <w:color w:val="auto"/>
          <w:sz w:val="24"/>
          <w:szCs w:val="24"/>
          <w:highlight w:val="none"/>
        </w:rPr>
      </w:pPr>
      <w:r>
        <w:rPr>
          <w:rFonts w:hint="eastAsia" w:hAnsi="宋体" w:cs="宋体"/>
          <w:b/>
          <w:bCs/>
          <w:color w:val="auto"/>
          <w:sz w:val="24"/>
          <w:szCs w:val="24"/>
          <w:highlight w:val="none"/>
        </w:rPr>
        <w:t>七、联合体参与磋商</w:t>
      </w:r>
    </w:p>
    <w:p>
      <w:pPr>
        <w:snapToGrid w:val="0"/>
        <w:spacing w:line="480" w:lineRule="exact"/>
        <w:ind w:firstLine="484" w:firstLineChars="202"/>
        <w:rPr>
          <w:rFonts w:hint="eastAsia" w:hAnsi="宋体" w:cs="宋体"/>
          <w:color w:val="auto"/>
          <w:sz w:val="24"/>
          <w:szCs w:val="24"/>
          <w:highlight w:val="none"/>
        </w:rPr>
      </w:pPr>
      <w:r>
        <w:rPr>
          <w:rFonts w:hint="eastAsia" w:hAnsi="宋体" w:cs="宋体"/>
          <w:color w:val="auto"/>
          <w:sz w:val="24"/>
          <w:szCs w:val="24"/>
          <w:highlight w:val="none"/>
        </w:rPr>
        <w:t>不接受任何形式的联合体参与本项目的竞争性磋商。</w:t>
      </w:r>
    </w:p>
    <w:p>
      <w:pPr>
        <w:snapToGrid w:val="0"/>
        <w:spacing w:line="480" w:lineRule="exact"/>
        <w:ind w:firstLine="480" w:firstLineChars="200"/>
        <w:outlineLvl w:val="1"/>
        <w:rPr>
          <w:rFonts w:hint="eastAsia" w:hAnsi="宋体" w:cs="宋体"/>
          <w:color w:val="auto"/>
          <w:sz w:val="24"/>
          <w:szCs w:val="24"/>
          <w:highlight w:val="none"/>
        </w:rPr>
      </w:pPr>
      <w:r>
        <w:rPr>
          <w:rFonts w:hint="eastAsia" w:hAnsi="宋体" w:cs="宋体"/>
          <w:b/>
          <w:bCs/>
          <w:color w:val="auto"/>
          <w:sz w:val="24"/>
          <w:szCs w:val="24"/>
          <w:highlight w:val="none"/>
        </w:rPr>
        <w:t>八、响应文件及</w:t>
      </w:r>
      <w:r>
        <w:rPr>
          <w:rFonts w:hint="eastAsia" w:hAnsi="宋体" w:cs="宋体"/>
          <w:b/>
          <w:color w:val="auto"/>
          <w:kern w:val="0"/>
          <w:sz w:val="24"/>
          <w:szCs w:val="24"/>
          <w:highlight w:val="none"/>
        </w:rPr>
        <w:t>磋商</w:t>
      </w:r>
      <w:r>
        <w:rPr>
          <w:rFonts w:hint="eastAsia" w:hAnsi="宋体" w:cs="宋体"/>
          <w:b/>
          <w:bCs/>
          <w:color w:val="auto"/>
          <w:sz w:val="24"/>
          <w:szCs w:val="24"/>
          <w:highlight w:val="none"/>
        </w:rPr>
        <w:t>费用</w:t>
      </w:r>
    </w:p>
    <w:p>
      <w:pPr>
        <w:snapToGrid w:val="0"/>
        <w:spacing w:line="480" w:lineRule="exact"/>
        <w:ind w:firstLine="484" w:firstLineChars="202"/>
        <w:rPr>
          <w:rFonts w:hint="eastAsia" w:hAnsi="宋体" w:cs="宋体"/>
          <w:color w:val="auto"/>
          <w:sz w:val="24"/>
          <w:szCs w:val="24"/>
          <w:highlight w:val="none"/>
        </w:rPr>
      </w:pPr>
      <w:r>
        <w:rPr>
          <w:rFonts w:hint="eastAsia" w:hAnsi="宋体" w:cs="宋体"/>
          <w:color w:val="auto"/>
          <w:sz w:val="24"/>
          <w:szCs w:val="24"/>
          <w:highlight w:val="none"/>
        </w:rPr>
        <w:t>1.本项目由成交供应商向招标代理机构支付代理服务费。代理服务费按照成交金额的1.05%计算，保底收费2000元。此项费用含在磋商响应报价中，并不单独立项。</w:t>
      </w:r>
    </w:p>
    <w:p>
      <w:pPr>
        <w:snapToGrid w:val="0"/>
        <w:spacing w:line="480" w:lineRule="exact"/>
        <w:ind w:firstLine="484" w:firstLineChars="202"/>
        <w:rPr>
          <w:rFonts w:hint="eastAsia" w:hAnsi="宋体" w:cs="宋体"/>
          <w:color w:val="auto"/>
          <w:sz w:val="24"/>
          <w:szCs w:val="24"/>
          <w:highlight w:val="none"/>
        </w:rPr>
      </w:pPr>
      <w:r>
        <w:rPr>
          <w:rFonts w:hint="eastAsia" w:hAnsi="宋体" w:cs="宋体"/>
          <w:color w:val="auto"/>
          <w:sz w:val="24"/>
          <w:szCs w:val="24"/>
          <w:highlight w:val="none"/>
        </w:rPr>
        <w:t>2.磋商程序顺利进行后，除供应商的原件可退回外，其余所有的响应文件都将作为档案保存，不论成交与否，代理机构均不退回。</w:t>
      </w:r>
    </w:p>
    <w:p>
      <w:pPr>
        <w:snapToGrid w:val="0"/>
        <w:spacing w:line="480" w:lineRule="exact"/>
        <w:ind w:firstLine="460" w:firstLineChars="192"/>
        <w:rPr>
          <w:rFonts w:hint="eastAsia" w:hAnsi="宋体" w:cs="宋体"/>
          <w:b/>
          <w:bCs/>
          <w:color w:val="auto"/>
          <w:sz w:val="10"/>
          <w:szCs w:val="10"/>
          <w:highlight w:val="none"/>
        </w:rPr>
      </w:pPr>
      <w:r>
        <w:rPr>
          <w:rFonts w:hint="eastAsia" w:hAnsi="宋体" w:cs="宋体"/>
          <w:color w:val="auto"/>
          <w:sz w:val="24"/>
          <w:szCs w:val="24"/>
          <w:highlight w:val="none"/>
        </w:rPr>
        <w:t>3.无论磋商过程和结果如何，参加项目磋商的供应商自行承担与本次项目磋商有关的全部费用。</w:t>
      </w:r>
    </w:p>
    <w:p>
      <w:pPr>
        <w:snapToGrid w:val="0"/>
        <w:spacing w:line="480" w:lineRule="exact"/>
        <w:ind w:firstLine="494" w:firstLineChars="206"/>
        <w:outlineLvl w:val="1"/>
        <w:rPr>
          <w:rFonts w:hint="eastAsia" w:hAnsi="宋体" w:cs="宋体"/>
          <w:b/>
          <w:color w:val="auto"/>
          <w:sz w:val="24"/>
          <w:szCs w:val="24"/>
          <w:highlight w:val="none"/>
        </w:rPr>
      </w:pPr>
      <w:r>
        <w:rPr>
          <w:rFonts w:hint="eastAsia" w:hAnsi="宋体" w:cs="宋体"/>
          <w:b/>
          <w:color w:val="auto"/>
          <w:sz w:val="24"/>
          <w:szCs w:val="24"/>
          <w:highlight w:val="none"/>
        </w:rPr>
        <w:t>九、未尽事宜</w:t>
      </w:r>
    </w:p>
    <w:p>
      <w:pPr>
        <w:snapToGrid w:val="0"/>
        <w:spacing w:line="480" w:lineRule="exact"/>
        <w:ind w:firstLine="494" w:firstLineChars="206"/>
        <w:rPr>
          <w:rFonts w:hint="eastAsia" w:hAnsi="宋体" w:cs="宋体"/>
          <w:color w:val="auto"/>
          <w:sz w:val="24"/>
          <w:szCs w:val="24"/>
          <w:highlight w:val="none"/>
        </w:rPr>
      </w:pPr>
      <w:r>
        <w:rPr>
          <w:rFonts w:hint="eastAsia" w:hAnsi="宋体" w:cs="宋体"/>
          <w:color w:val="auto"/>
          <w:sz w:val="24"/>
          <w:szCs w:val="24"/>
          <w:highlight w:val="none"/>
        </w:rPr>
        <w:t>按有关法律法规的规定执行。</w:t>
      </w:r>
    </w:p>
    <w:p>
      <w:pPr>
        <w:pStyle w:val="4"/>
        <w:keepNext w:val="0"/>
        <w:keepLines w:val="0"/>
        <w:adjustRightInd w:val="0"/>
        <w:snapToGrid w:val="0"/>
        <w:spacing w:before="0" w:after="0" w:line="800" w:lineRule="exact"/>
        <w:jc w:val="center"/>
        <w:textAlignment w:val="baseline"/>
        <w:rPr>
          <w:rFonts w:hint="eastAsia" w:ascii="宋体" w:hAnsi="宋体" w:eastAsia="宋体" w:cs="宋体"/>
          <w:color w:val="auto"/>
          <w:w w:val="80"/>
          <w:szCs w:val="44"/>
          <w:highlight w:val="none"/>
        </w:rPr>
        <w:sectPr>
          <w:footerReference r:id="rId3" w:type="default"/>
          <w:pgSz w:w="11906" w:h="16838"/>
          <w:pgMar w:top="1247" w:right="1418" w:bottom="1247" w:left="1418" w:header="851" w:footer="992" w:gutter="0"/>
          <w:cols w:space="720" w:num="1"/>
          <w:docGrid w:type="linesAndChars" w:linePitch="312" w:charSpace="0"/>
        </w:sectPr>
      </w:pPr>
      <w:bookmarkStart w:id="21" w:name="_Toc432763305"/>
    </w:p>
    <w:p>
      <w:pPr>
        <w:pStyle w:val="4"/>
        <w:keepNext w:val="0"/>
        <w:keepLines w:val="0"/>
        <w:adjustRightInd w:val="0"/>
        <w:snapToGrid w:val="0"/>
        <w:spacing w:before="0" w:after="0" w:line="360" w:lineRule="auto"/>
        <w:jc w:val="center"/>
        <w:textAlignment w:val="baseline"/>
        <w:rPr>
          <w:rFonts w:hint="eastAsia" w:ascii="宋体" w:hAnsi="宋体" w:eastAsia="宋体" w:cs="宋体"/>
          <w:color w:val="auto"/>
          <w:w w:val="80"/>
          <w:szCs w:val="44"/>
          <w:highlight w:val="none"/>
        </w:rPr>
      </w:pPr>
      <w:r>
        <w:rPr>
          <w:rFonts w:hint="eastAsia" w:ascii="宋体" w:hAnsi="宋体" w:eastAsia="宋体" w:cs="宋体"/>
          <w:color w:val="auto"/>
          <w:w w:val="80"/>
          <w:szCs w:val="44"/>
          <w:highlight w:val="none"/>
        </w:rPr>
        <w:t>第三章  项目需求</w:t>
      </w:r>
      <w:bookmarkEnd w:id="21"/>
      <w:bookmarkStart w:id="22" w:name="二、项目具体需求说明"/>
      <w:bookmarkEnd w:id="22"/>
    </w:p>
    <w:p>
      <w:pPr>
        <w:adjustRightInd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一、项目概况</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1.展会名称：2025年中国海洋经济博览会（海博会）</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2.展会时间：2025年10月28-30日</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3.展会地点：深圳国际会展中心（宝安新馆）</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4.项目背景：</w:t>
      </w:r>
      <w:r>
        <w:rPr>
          <w:rFonts w:ascii="宋体" w:hAnsi="宋体" w:cs="宋体"/>
          <w:color w:val="auto"/>
          <w:sz w:val="24"/>
          <w:szCs w:val="24"/>
          <w:highlight w:val="none"/>
        </w:rPr>
        <w:t>根据江苏省</w:t>
      </w:r>
      <w:r>
        <w:rPr>
          <w:rFonts w:hint="eastAsia" w:ascii="宋体" w:hAnsi="宋体" w:cs="宋体"/>
          <w:color w:val="auto"/>
          <w:sz w:val="24"/>
          <w:szCs w:val="24"/>
          <w:highlight w:val="none"/>
        </w:rPr>
        <w:t>发改委</w:t>
      </w:r>
      <w:r>
        <w:rPr>
          <w:rFonts w:ascii="宋体" w:hAnsi="宋体" w:cs="宋体"/>
          <w:color w:val="auto"/>
          <w:sz w:val="24"/>
          <w:szCs w:val="24"/>
          <w:highlight w:val="none"/>
        </w:rPr>
        <w:t>统一部署，</w:t>
      </w:r>
      <w:r>
        <w:rPr>
          <w:rFonts w:hint="eastAsia" w:ascii="宋体" w:hAnsi="宋体" w:cs="宋体"/>
          <w:color w:val="auto"/>
          <w:sz w:val="24"/>
          <w:szCs w:val="24"/>
          <w:highlight w:val="none"/>
        </w:rPr>
        <w:t>江苏省</w:t>
      </w:r>
      <w:r>
        <w:rPr>
          <w:rFonts w:ascii="宋体" w:hAnsi="宋体" w:cs="宋体"/>
          <w:color w:val="auto"/>
          <w:sz w:val="24"/>
          <w:szCs w:val="24"/>
          <w:highlight w:val="none"/>
        </w:rPr>
        <w:t>首次整体组团参展2025年中国海洋经济博览会。南通市</w:t>
      </w:r>
      <w:r>
        <w:rPr>
          <w:rFonts w:hint="eastAsia" w:ascii="宋体" w:hAnsi="宋体" w:cs="宋体"/>
          <w:color w:val="auto"/>
          <w:sz w:val="24"/>
          <w:szCs w:val="24"/>
          <w:highlight w:val="none"/>
        </w:rPr>
        <w:t>由</w:t>
      </w:r>
      <w:r>
        <w:rPr>
          <w:rFonts w:ascii="宋体" w:hAnsi="宋体" w:cs="宋体"/>
          <w:color w:val="auto"/>
          <w:sz w:val="24"/>
          <w:szCs w:val="24"/>
          <w:highlight w:val="none"/>
        </w:rPr>
        <w:t>海洋发展局牵头组织南通市参展工作，集中展示南通市海洋经济发展新成就、新动能、新前景，提升南通海洋城市品牌影响力，促进海洋领域交流合作。</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5.展位情况：</w:t>
      </w:r>
      <w:r>
        <w:rPr>
          <w:rFonts w:ascii="宋体" w:hAnsi="宋体" w:cs="宋体"/>
          <w:color w:val="auto"/>
          <w:sz w:val="24"/>
          <w:szCs w:val="24"/>
          <w:highlight w:val="none"/>
        </w:rPr>
        <w:t>南通展区位于江苏省整体展区内，为特装展位，净展陈面积为150平方米（含省级分摊面积，合同施工面积为167平方米）</w:t>
      </w:r>
      <w:r>
        <w:rPr>
          <w:rFonts w:hint="eastAsia" w:ascii="宋体" w:hAnsi="宋体" w:cs="宋体"/>
          <w:color w:val="auto"/>
          <w:sz w:val="24"/>
          <w:szCs w:val="24"/>
          <w:highlight w:val="none"/>
        </w:rPr>
        <w:t>。</w:t>
      </w:r>
    </w:p>
    <w:p>
      <w:pPr>
        <w:adjustRightInd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二、具体需求</w:t>
      </w:r>
    </w:p>
    <w:p>
      <w:pPr>
        <w:spacing w:line="360" w:lineRule="auto"/>
        <w:ind w:firstLine="482" w:firstLineChars="200"/>
        <w:rPr>
          <w:rFonts w:hint="eastAsia" w:ascii="宋体" w:hAnsi="宋体" w:cs="宋体"/>
          <w:b/>
          <w:color w:val="auto"/>
          <w:sz w:val="24"/>
          <w:szCs w:val="24"/>
          <w:highlight w:val="none"/>
        </w:rPr>
      </w:pPr>
      <w:r>
        <w:rPr>
          <w:rFonts w:ascii="宋体" w:hAnsi="宋体" w:cs="宋体"/>
          <w:b/>
          <w:color w:val="auto"/>
          <w:sz w:val="24"/>
          <w:szCs w:val="24"/>
          <w:highlight w:val="none"/>
        </w:rPr>
        <w:t>第一部分：展位设计、搭建与布展服务</w:t>
      </w:r>
    </w:p>
    <w:p>
      <w:pPr>
        <w:spacing w:line="360" w:lineRule="auto"/>
        <w:ind w:left="420" w:leftChars="200"/>
        <w:rPr>
          <w:rFonts w:hint="eastAsia" w:ascii="宋体" w:hAnsi="宋体" w:cs="宋体"/>
          <w:color w:val="auto"/>
          <w:sz w:val="24"/>
          <w:szCs w:val="24"/>
          <w:highlight w:val="none"/>
        </w:rPr>
      </w:pPr>
      <w:r>
        <w:rPr>
          <w:rFonts w:ascii="宋体" w:hAnsi="宋体" w:cs="宋体"/>
          <w:color w:val="auto"/>
          <w:sz w:val="24"/>
          <w:szCs w:val="24"/>
          <w:highlight w:val="none"/>
        </w:rPr>
        <w:t>（一）总体规划与设计</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江苏省展团布展采用一体设计，并分展位实施。供应商须完成江苏省整体展台共计500平方米的整体布展（整体视觉风格）设计方案（江苏省总体展示区域约50平米，南通市、盐城市、连云港市各150平米展区），确保三市展区既风格协调、视觉统一，又充分体现各市特色。</w:t>
      </w:r>
    </w:p>
    <w:p>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根据南通市海洋经济发展特色进行</w:t>
      </w:r>
      <w:r>
        <w:rPr>
          <w:rFonts w:hint="eastAsia" w:ascii="宋体" w:hAnsi="宋体" w:cs="宋体"/>
          <w:color w:val="auto"/>
          <w:sz w:val="24"/>
          <w:szCs w:val="24"/>
          <w:highlight w:val="none"/>
        </w:rPr>
        <w:t>150平米</w:t>
      </w:r>
      <w:r>
        <w:rPr>
          <w:rFonts w:ascii="宋体" w:hAnsi="宋体" w:cs="宋体"/>
          <w:color w:val="auto"/>
          <w:sz w:val="24"/>
          <w:szCs w:val="24"/>
          <w:highlight w:val="none"/>
        </w:rPr>
        <w:t>展位</w:t>
      </w:r>
      <w:r>
        <w:rPr>
          <w:rFonts w:hint="eastAsia" w:ascii="宋体" w:hAnsi="宋体" w:cs="宋体"/>
          <w:color w:val="auto"/>
          <w:sz w:val="24"/>
          <w:szCs w:val="24"/>
          <w:highlight w:val="none"/>
        </w:rPr>
        <w:t>的详细</w:t>
      </w:r>
      <w:r>
        <w:rPr>
          <w:rFonts w:ascii="宋体" w:hAnsi="宋体" w:cs="宋体"/>
          <w:color w:val="auto"/>
          <w:sz w:val="24"/>
          <w:szCs w:val="24"/>
          <w:highlight w:val="none"/>
        </w:rPr>
        <w:t>规划设计，包括功能分区（主题形象区、产业实力与创新成果展示区）、动线设计、视觉效果等</w:t>
      </w:r>
      <w:r>
        <w:rPr>
          <w:rFonts w:hint="eastAsia" w:ascii="宋体" w:hAnsi="宋体" w:cs="宋体"/>
          <w:color w:val="auto"/>
          <w:sz w:val="24"/>
          <w:szCs w:val="24"/>
          <w:highlight w:val="none"/>
        </w:rPr>
        <w:t>。</w:t>
      </w:r>
      <w:r>
        <w:rPr>
          <w:rFonts w:ascii="宋体" w:hAnsi="宋体" w:cs="宋体"/>
          <w:color w:val="auto"/>
          <w:sz w:val="24"/>
          <w:szCs w:val="24"/>
          <w:highlight w:val="none"/>
        </w:rPr>
        <w:t>提供完整的设计方案，包括但不限于平面布局图、效果图、施工图、电气图等。</w:t>
      </w:r>
    </w:p>
    <w:p>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设计风格要求大气、开放、现代，体现海洋元素和南通特色，以实物展示为主，综合运用图文、多媒体等多种展示手段。</w:t>
      </w:r>
    </w:p>
    <w:p>
      <w:pPr>
        <w:pStyle w:val="2"/>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成交供应商须按采购人要求对方案进行深化</w:t>
      </w:r>
      <w:r>
        <w:rPr>
          <w:rFonts w:hint="eastAsia" w:ascii="宋体" w:hAnsi="宋体" w:cs="宋体"/>
          <w:color w:val="auto"/>
          <w:sz w:val="24"/>
          <w:szCs w:val="24"/>
          <w:highlight w:val="none"/>
        </w:rPr>
        <w:t>设计</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深化设计</w:t>
      </w:r>
      <w:r>
        <w:rPr>
          <w:rFonts w:hint="eastAsia" w:ascii="宋体" w:hAnsi="宋体" w:cs="宋体"/>
          <w:color w:val="auto"/>
          <w:sz w:val="24"/>
          <w:szCs w:val="24"/>
          <w:highlight w:val="none"/>
        </w:rPr>
        <w:t>方案应于</w:t>
      </w:r>
      <w:r>
        <w:rPr>
          <w:rFonts w:hint="eastAsia" w:ascii="宋体" w:hAnsi="宋体" w:cs="宋体"/>
          <w:color w:val="auto"/>
          <w:sz w:val="24"/>
          <w:szCs w:val="24"/>
          <w:highlight w:val="none"/>
          <w:lang w:val="en-US" w:eastAsia="zh-CN"/>
        </w:rPr>
        <w:t>2025年</w:t>
      </w:r>
      <w:r>
        <w:rPr>
          <w:rFonts w:hint="eastAsia" w:ascii="宋体" w:hAnsi="宋体" w:cs="宋体"/>
          <w:color w:val="auto"/>
          <w:sz w:val="24"/>
          <w:szCs w:val="24"/>
          <w:highlight w:val="none"/>
        </w:rPr>
        <w:t>10月</w:t>
      </w:r>
      <w:r>
        <w:rPr>
          <w:rFonts w:hint="eastAsia" w:ascii="宋体" w:hAnsi="宋体" w:cs="宋体"/>
          <w:color w:val="auto"/>
          <w:sz w:val="24"/>
          <w:szCs w:val="24"/>
          <w:highlight w:val="none"/>
          <w:lang w:val="en-US" w:eastAsia="zh-CN"/>
        </w:rPr>
        <w:t>17</w:t>
      </w:r>
      <w:r>
        <w:rPr>
          <w:rFonts w:hint="eastAsia" w:ascii="宋体" w:hAnsi="宋体" w:cs="宋体"/>
          <w:color w:val="auto"/>
          <w:sz w:val="24"/>
          <w:szCs w:val="24"/>
          <w:highlight w:val="none"/>
        </w:rPr>
        <w:t>日前完成。</w:t>
      </w:r>
    </w:p>
    <w:p>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（二）展位搭建与布展</w:t>
      </w:r>
    </w:p>
    <w:p>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负责</w:t>
      </w:r>
      <w:r>
        <w:rPr>
          <w:rFonts w:hint="eastAsia" w:ascii="宋体" w:hAnsi="宋体" w:cs="宋体"/>
          <w:color w:val="auto"/>
          <w:sz w:val="24"/>
          <w:szCs w:val="24"/>
          <w:highlight w:val="none"/>
        </w:rPr>
        <w:t>167平米</w:t>
      </w:r>
      <w:r>
        <w:rPr>
          <w:rFonts w:ascii="宋体" w:hAnsi="宋体" w:cs="宋体"/>
          <w:color w:val="auto"/>
          <w:sz w:val="24"/>
          <w:szCs w:val="24"/>
          <w:highlight w:val="none"/>
        </w:rPr>
        <w:t>展位</w:t>
      </w:r>
      <w:r>
        <w:rPr>
          <w:rFonts w:hint="eastAsia" w:ascii="宋体" w:hAnsi="宋体" w:cs="宋体"/>
          <w:color w:val="auto"/>
          <w:sz w:val="24"/>
          <w:szCs w:val="24"/>
          <w:highlight w:val="none"/>
        </w:rPr>
        <w:t>（包括省级面积分摊在内）</w:t>
      </w:r>
      <w:r>
        <w:rPr>
          <w:rFonts w:ascii="宋体" w:hAnsi="宋体" w:cs="宋体"/>
          <w:color w:val="auto"/>
          <w:sz w:val="24"/>
          <w:szCs w:val="24"/>
          <w:highlight w:val="none"/>
        </w:rPr>
        <w:t>的整体搭建施工，包括结构、地面、墙面、灯光、电力、网络等。</w:t>
      </w:r>
    </w:p>
    <w:p>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负责所有展示内容的制作与安装，包括展板、灯箱、LOGO标识、宣传品、实物展台、多媒体设备等。</w:t>
      </w:r>
    </w:p>
    <w:p>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负责展位内所有家具、道具、绿植等的租赁、布置。</w:t>
      </w:r>
    </w:p>
    <w:p>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负责配合参展单位进行展品、模型等实物的进场、摆放、固定及看管。</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确保所有设计、材料、施工符合展会主办方及场馆方的规定和要求，并通过所有必要的报批和安检。</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布展施工需在</w:t>
      </w:r>
      <w:r>
        <w:rPr>
          <w:rFonts w:hint="eastAsia" w:ascii="宋体" w:hAnsi="宋体" w:cs="宋体"/>
          <w:color w:val="auto"/>
          <w:sz w:val="24"/>
          <w:szCs w:val="24"/>
          <w:highlight w:val="none"/>
          <w:lang w:val="en-US" w:eastAsia="zh-CN"/>
        </w:rPr>
        <w:t>2025年</w:t>
      </w:r>
      <w:r>
        <w:rPr>
          <w:rFonts w:hint="eastAsia" w:ascii="宋体" w:hAnsi="宋体" w:cs="宋体"/>
          <w:color w:val="auto"/>
          <w:sz w:val="24"/>
          <w:szCs w:val="24"/>
          <w:highlight w:val="none"/>
        </w:rPr>
        <w:t>10月27日前完成。</w:t>
      </w:r>
    </w:p>
    <w:p>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（三）展位运营与现场服务</w:t>
      </w:r>
    </w:p>
    <w:p>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负责展位开展期间的日常运营维护，包括设备调试、卫生保洁、物资补给等。</w:t>
      </w:r>
    </w:p>
    <w:p>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配备足够的现场工作人员，负责引导、咨询、联络、协调等工作。</w:t>
      </w:r>
    </w:p>
    <w:p>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提供必要的会务服务支持，协助承办单位组织现场活动（如领导巡馆、推介会、洽谈等）。</w:t>
      </w:r>
    </w:p>
    <w:p>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（四）撤展与后续工作</w:t>
      </w:r>
    </w:p>
    <w:p>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负责展会结束后的有序撤展、展品打包、现场清理工作。</w:t>
      </w:r>
    </w:p>
    <w:p>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负责所有租赁物品的归还。</w:t>
      </w:r>
    </w:p>
    <w:p>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配合完成后续工作。</w:t>
      </w:r>
    </w:p>
    <w:p>
      <w:pPr>
        <w:spacing w:line="360" w:lineRule="auto"/>
        <w:ind w:firstLine="482" w:firstLineChars="200"/>
        <w:rPr>
          <w:rFonts w:hint="eastAsia" w:ascii="宋体" w:hAnsi="宋体" w:cs="宋体"/>
          <w:b/>
          <w:color w:val="auto"/>
          <w:sz w:val="24"/>
          <w:szCs w:val="24"/>
          <w:highlight w:val="none"/>
        </w:rPr>
      </w:pPr>
      <w:r>
        <w:rPr>
          <w:rFonts w:ascii="宋体" w:hAnsi="宋体" w:cs="宋体"/>
          <w:b/>
          <w:color w:val="auto"/>
          <w:sz w:val="24"/>
          <w:szCs w:val="24"/>
          <w:highlight w:val="none"/>
        </w:rPr>
        <w:t>第二部分：展示内容策划与制作服务</w:t>
      </w:r>
    </w:p>
    <w:p>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（一）内容策划与梳理</w:t>
      </w:r>
    </w:p>
    <w:p>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协助采购人梳理、提炼南通海洋经济发展成果、重点产业、优势企业、园区平台等展示内容。根据展示内容策划相应的展示形式和表现手法。</w:t>
      </w:r>
    </w:p>
    <w:p>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（二）展示物料设计与制作</w:t>
      </w:r>
    </w:p>
    <w:p>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负责所有平面宣传材料的设计与制作，包括但不限于：</w:t>
      </w:r>
    </w:p>
    <w:p>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主题形象墙、前言</w:t>
      </w:r>
      <w:r>
        <w:rPr>
          <w:rFonts w:hint="eastAsia" w:ascii="宋体" w:hAnsi="宋体" w:cs="宋体"/>
          <w:color w:val="auto"/>
          <w:sz w:val="24"/>
          <w:szCs w:val="24"/>
          <w:highlight w:val="none"/>
        </w:rPr>
        <w:t>；</w:t>
      </w:r>
      <w:r>
        <w:rPr>
          <w:rFonts w:ascii="宋体" w:hAnsi="宋体" w:cs="宋体"/>
          <w:color w:val="auto"/>
          <w:sz w:val="24"/>
          <w:szCs w:val="24"/>
          <w:highlight w:val="none"/>
        </w:rPr>
        <w:t>各板块</w:t>
      </w:r>
      <w:r>
        <w:rPr>
          <w:rFonts w:hint="eastAsia" w:ascii="宋体" w:hAnsi="宋体" w:cs="宋体"/>
          <w:color w:val="auto"/>
          <w:sz w:val="24"/>
          <w:szCs w:val="24"/>
          <w:highlight w:val="none"/>
        </w:rPr>
        <w:t>园区</w:t>
      </w:r>
      <w:r>
        <w:rPr>
          <w:rFonts w:ascii="宋体" w:hAnsi="宋体" w:cs="宋体"/>
          <w:color w:val="auto"/>
          <w:sz w:val="24"/>
          <w:szCs w:val="24"/>
          <w:highlight w:val="none"/>
        </w:rPr>
        <w:t>介绍展板（图文）</w:t>
      </w:r>
      <w:r>
        <w:rPr>
          <w:rFonts w:hint="eastAsia" w:ascii="宋体" w:hAnsi="宋体" w:cs="宋体"/>
          <w:color w:val="auto"/>
          <w:sz w:val="24"/>
          <w:szCs w:val="24"/>
          <w:highlight w:val="none"/>
        </w:rPr>
        <w:t>；</w:t>
      </w:r>
      <w:r>
        <w:rPr>
          <w:rFonts w:ascii="宋体" w:hAnsi="宋体" w:cs="宋体"/>
          <w:color w:val="auto"/>
          <w:sz w:val="24"/>
          <w:szCs w:val="24"/>
          <w:highlight w:val="none"/>
        </w:rPr>
        <w:t>重点企业/平台介绍展板（图文）</w:t>
      </w:r>
      <w:r>
        <w:rPr>
          <w:rFonts w:hint="eastAsia" w:ascii="宋体" w:hAnsi="宋体" w:cs="宋体"/>
          <w:color w:val="auto"/>
          <w:sz w:val="24"/>
          <w:szCs w:val="24"/>
          <w:highlight w:val="none"/>
        </w:rPr>
        <w:t>；</w:t>
      </w:r>
      <w:r>
        <w:rPr>
          <w:rFonts w:ascii="宋体" w:hAnsi="宋体" w:cs="宋体"/>
          <w:color w:val="auto"/>
          <w:sz w:val="24"/>
          <w:szCs w:val="24"/>
          <w:highlight w:val="none"/>
        </w:rPr>
        <w:t>城市宣传片（协助播放）</w:t>
      </w:r>
      <w:r>
        <w:rPr>
          <w:rFonts w:hint="eastAsia" w:ascii="宋体" w:hAnsi="宋体" w:cs="宋体"/>
          <w:color w:val="auto"/>
          <w:sz w:val="24"/>
          <w:szCs w:val="24"/>
          <w:highlight w:val="none"/>
        </w:rPr>
        <w:t>；</w:t>
      </w:r>
      <w:r>
        <w:rPr>
          <w:rFonts w:ascii="宋体" w:hAnsi="宋体" w:cs="宋体"/>
          <w:color w:val="auto"/>
          <w:sz w:val="24"/>
          <w:szCs w:val="24"/>
          <w:highlight w:val="none"/>
        </w:rPr>
        <w:t>宣传折页/手册（设计，印刷）</w:t>
      </w:r>
      <w:r>
        <w:rPr>
          <w:rFonts w:hint="eastAsia" w:ascii="宋体" w:hAnsi="宋体" w:cs="宋体"/>
          <w:color w:val="auto"/>
          <w:sz w:val="24"/>
          <w:szCs w:val="24"/>
          <w:highlight w:val="none"/>
        </w:rPr>
        <w:t>；</w:t>
      </w:r>
      <w:r>
        <w:rPr>
          <w:rFonts w:ascii="宋体" w:hAnsi="宋体" w:cs="宋体"/>
          <w:color w:val="auto"/>
          <w:sz w:val="24"/>
          <w:szCs w:val="24"/>
          <w:highlight w:val="none"/>
        </w:rPr>
        <w:t>其他必要的标识和导视系统</w:t>
      </w:r>
      <w:r>
        <w:rPr>
          <w:rFonts w:hint="eastAsia" w:ascii="宋体" w:hAnsi="宋体" w:cs="宋体"/>
          <w:color w:val="auto"/>
          <w:sz w:val="24"/>
          <w:szCs w:val="24"/>
          <w:highlight w:val="none"/>
        </w:rPr>
        <w:t>。</w:t>
      </w:r>
    </w:p>
    <w:p>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设计需符合整体展位设计风格，确保内容准确、美观。</w:t>
      </w:r>
    </w:p>
    <w:p>
      <w:pPr>
        <w:spacing w:line="360" w:lineRule="auto"/>
        <w:ind w:left="210" w:leftChars="100" w:firstLine="241" w:firstLineChars="100"/>
        <w:rPr>
          <w:rFonts w:hint="eastAsia" w:ascii="宋体" w:hAnsi="宋体" w:cs="宋体"/>
          <w:b/>
          <w:color w:val="auto"/>
          <w:sz w:val="24"/>
          <w:szCs w:val="24"/>
          <w:highlight w:val="none"/>
        </w:rPr>
      </w:pPr>
      <w:r>
        <w:rPr>
          <w:rFonts w:ascii="宋体" w:hAnsi="宋体" w:cs="宋体"/>
          <w:b/>
          <w:color w:val="auto"/>
          <w:sz w:val="24"/>
          <w:szCs w:val="24"/>
          <w:highlight w:val="none"/>
        </w:rPr>
        <w:t>第</w:t>
      </w:r>
      <w:r>
        <w:rPr>
          <w:rFonts w:hint="eastAsia" w:ascii="宋体" w:hAnsi="宋体" w:cs="宋体"/>
          <w:b/>
          <w:color w:val="auto"/>
          <w:sz w:val="24"/>
          <w:szCs w:val="24"/>
          <w:highlight w:val="none"/>
        </w:rPr>
        <w:t>三</w:t>
      </w:r>
      <w:r>
        <w:rPr>
          <w:rFonts w:ascii="宋体" w:hAnsi="宋体" w:cs="宋体"/>
          <w:b/>
          <w:color w:val="auto"/>
          <w:sz w:val="24"/>
          <w:szCs w:val="24"/>
          <w:highlight w:val="none"/>
        </w:rPr>
        <w:t>部分：项目管理与综合服务</w:t>
      </w:r>
    </w:p>
    <w:p>
      <w:pPr>
        <w:spacing w:line="360" w:lineRule="auto"/>
        <w:ind w:left="210" w:leftChars="100" w:firstLine="240" w:firstLineChars="100"/>
        <w:rPr>
          <w:rFonts w:hint="eastAsia" w:ascii="宋体" w:hAnsi="宋体" w:cs="宋体"/>
          <w:color w:val="auto"/>
          <w:sz w:val="24"/>
          <w:szCs w:val="24"/>
          <w:highlight w:val="none"/>
        </w:rPr>
      </w:pPr>
      <w:r>
        <w:rPr>
          <w:rFonts w:ascii="宋体" w:hAnsi="宋体" w:cs="宋体"/>
          <w:color w:val="auto"/>
          <w:sz w:val="24"/>
          <w:szCs w:val="24"/>
          <w:highlight w:val="none"/>
        </w:rPr>
        <w:t>（一）项目总协调</w:t>
      </w:r>
    </w:p>
    <w:p>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指派一名经验丰富的项目经理，作为与采购人的唯一接口，全程负责项目的统筹、协调、沟通。</w:t>
      </w:r>
    </w:p>
    <w:p>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制定详细的项目进度计划表，确保各环节按时推进。</w:t>
      </w:r>
    </w:p>
    <w:p>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定期向采购人汇报项目进展。</w:t>
      </w:r>
    </w:p>
    <w:p>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（二）报批与沟通</w:t>
      </w:r>
    </w:p>
    <w:p>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负责与展会主办方、场馆方进行所有必要的报批、沟通、协调工作。</w:t>
      </w:r>
    </w:p>
    <w:p>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及时向采购人传达主办方、场馆方的各项规定和要求。</w:t>
      </w:r>
    </w:p>
    <w:p>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（三）费用管控</w:t>
      </w:r>
    </w:p>
    <w:p>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根据预算提供详细报价清单。</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在项目实施过程中，严格按照预算执行，如有超支风险需提前书面说明并获采购人同意。</w:t>
      </w:r>
    </w:p>
    <w:p>
      <w:pPr>
        <w:snapToGrid w:val="0"/>
        <w:spacing w:line="480" w:lineRule="exact"/>
        <w:ind w:firstLine="480" w:firstLineChars="200"/>
        <w:outlineLvl w:val="1"/>
        <w:rPr>
          <w:rFonts w:hint="eastAsia"/>
          <w:bCs/>
          <w:color w:val="auto"/>
          <w:sz w:val="24"/>
          <w:szCs w:val="24"/>
          <w:highlight w:val="none"/>
          <w:lang w:val="zh-CN"/>
        </w:rPr>
      </w:pPr>
      <w:r>
        <w:rPr>
          <w:rFonts w:hint="eastAsia" w:hAnsi="宋体" w:cs="宋体"/>
          <w:bCs/>
          <w:color w:val="auto"/>
          <w:sz w:val="24"/>
          <w:szCs w:val="24"/>
          <w:highlight w:val="none"/>
        </w:rPr>
        <w:t xml:space="preserve">（四）项目的其他技术、服务等要求 </w:t>
      </w:r>
    </w:p>
    <w:p>
      <w:pPr>
        <w:snapToGrid w:val="0"/>
        <w:spacing w:line="480" w:lineRule="exact"/>
        <w:ind w:firstLine="480" w:firstLineChars="200"/>
        <w:rPr>
          <w:rFonts w:hint="eastAsia"/>
          <w:color w:val="auto"/>
          <w:sz w:val="24"/>
          <w:szCs w:val="24"/>
          <w:highlight w:val="none"/>
          <w:lang w:val="zh-CN"/>
        </w:rPr>
      </w:pPr>
      <w:r>
        <w:rPr>
          <w:rFonts w:hint="eastAsia" w:hAnsi="宋体" w:cs="宋体"/>
          <w:color w:val="auto"/>
          <w:sz w:val="24"/>
          <w:szCs w:val="24"/>
          <w:highlight w:val="none"/>
        </w:rPr>
        <w:t xml:space="preserve">1.供应商须完善展台设计及搭建方案，开展工作流程方案、相工作报批手续、施工制作方案、运营管理方案、各类应急预案等工作，监理并完成展台搭建工作。严格做好安全、质量检测防范措施。 </w:t>
      </w:r>
    </w:p>
    <w:p>
      <w:pPr>
        <w:snapToGrid w:val="0"/>
        <w:spacing w:line="480" w:lineRule="exact"/>
        <w:ind w:firstLine="480" w:firstLineChars="200"/>
        <w:rPr>
          <w:rFonts w:hint="eastAsia"/>
          <w:color w:val="auto"/>
          <w:sz w:val="24"/>
          <w:szCs w:val="24"/>
          <w:highlight w:val="none"/>
          <w:lang w:val="zh-CN"/>
        </w:rPr>
      </w:pPr>
      <w:r>
        <w:rPr>
          <w:rFonts w:hint="eastAsia" w:hAnsi="宋体" w:cs="宋体"/>
          <w:color w:val="auto"/>
          <w:sz w:val="24"/>
          <w:szCs w:val="24"/>
          <w:highlight w:val="none"/>
        </w:rPr>
        <w:t>2.供应商须严格按设计图纸和已确认的施工技术方案组织施工，并无条件地接受采购单位对项目质量的监督和管理。如有现场变更事项，</w:t>
      </w:r>
      <w:r>
        <w:rPr>
          <w:rFonts w:hint="eastAsia" w:cs="宋体"/>
          <w:color w:val="auto"/>
          <w:sz w:val="24"/>
          <w:szCs w:val="24"/>
          <w:highlight w:val="none"/>
        </w:rPr>
        <w:t>中标单位</w:t>
      </w:r>
      <w:r>
        <w:rPr>
          <w:rFonts w:hint="eastAsia" w:hAnsi="宋体" w:cs="宋体"/>
          <w:color w:val="auto"/>
          <w:sz w:val="24"/>
          <w:szCs w:val="24"/>
          <w:highlight w:val="none"/>
        </w:rPr>
        <w:t xml:space="preserve">提交书面申请及工作量清单，必须由采购单位签字。 </w:t>
      </w:r>
    </w:p>
    <w:p>
      <w:pPr>
        <w:snapToGrid w:val="0"/>
        <w:spacing w:line="480" w:lineRule="exact"/>
        <w:ind w:firstLine="480" w:firstLineChars="200"/>
        <w:rPr>
          <w:rFonts w:hint="eastAsia"/>
          <w:color w:val="auto"/>
          <w:sz w:val="24"/>
          <w:szCs w:val="24"/>
          <w:highlight w:val="none"/>
          <w:lang w:val="zh-CN"/>
        </w:rPr>
      </w:pPr>
      <w:r>
        <w:rPr>
          <w:rFonts w:hint="eastAsia" w:hAnsi="宋体" w:cs="宋体"/>
          <w:color w:val="auto"/>
          <w:sz w:val="24"/>
          <w:szCs w:val="24"/>
          <w:highlight w:val="none"/>
        </w:rPr>
        <w:t xml:space="preserve">3.所有特装展位的电源接入由场馆专业人员负责，特装搭建需提前申报用电参数及用电需求，不得私自接驳电源。 </w:t>
      </w:r>
    </w:p>
    <w:p>
      <w:pPr>
        <w:snapToGrid w:val="0"/>
        <w:spacing w:line="480" w:lineRule="exact"/>
        <w:ind w:firstLine="480" w:firstLineChars="200"/>
        <w:rPr>
          <w:rFonts w:hint="eastAsia"/>
          <w:color w:val="auto"/>
          <w:sz w:val="24"/>
          <w:szCs w:val="24"/>
          <w:highlight w:val="none"/>
          <w:lang w:val="zh-CN"/>
        </w:rPr>
      </w:pPr>
      <w:r>
        <w:rPr>
          <w:rFonts w:hint="eastAsia" w:hAnsi="宋体" w:cs="宋体"/>
          <w:color w:val="auto"/>
          <w:sz w:val="24"/>
          <w:szCs w:val="24"/>
          <w:highlight w:val="none"/>
        </w:rPr>
        <w:t xml:space="preserve">4.供应商安装调试人员对车辆设备、管线等造成损坏，应由供应商负责修复及承担一切费用。 </w:t>
      </w:r>
    </w:p>
    <w:p>
      <w:pPr>
        <w:snapToGrid w:val="0"/>
        <w:spacing w:line="480" w:lineRule="exact"/>
        <w:ind w:firstLine="480" w:firstLineChars="200"/>
        <w:rPr>
          <w:rFonts w:hint="eastAsia"/>
          <w:color w:val="auto"/>
          <w:sz w:val="24"/>
          <w:szCs w:val="24"/>
          <w:highlight w:val="none"/>
          <w:lang w:val="zh-CN"/>
        </w:rPr>
      </w:pPr>
      <w:r>
        <w:rPr>
          <w:rFonts w:hint="eastAsia" w:hAnsi="宋体" w:cs="宋体"/>
          <w:color w:val="auto"/>
          <w:sz w:val="24"/>
          <w:szCs w:val="24"/>
          <w:highlight w:val="none"/>
        </w:rPr>
        <w:t xml:space="preserve">5.安装调试期间应做好安全标识牌，供应商负责及时清理垃圾，保证场地清洁不影响当地市民及相关参展人员出行。 </w:t>
      </w:r>
    </w:p>
    <w:p>
      <w:pPr>
        <w:snapToGrid w:val="0"/>
        <w:spacing w:line="480" w:lineRule="exact"/>
        <w:ind w:firstLine="480" w:firstLineChars="200"/>
        <w:rPr>
          <w:rFonts w:hint="eastAsia"/>
          <w:color w:val="auto"/>
          <w:sz w:val="24"/>
          <w:szCs w:val="24"/>
          <w:highlight w:val="none"/>
          <w:lang w:val="zh-CN"/>
        </w:rPr>
      </w:pPr>
      <w:r>
        <w:rPr>
          <w:rFonts w:hint="eastAsia" w:hAnsi="宋体" w:cs="宋体"/>
          <w:color w:val="auto"/>
          <w:sz w:val="24"/>
          <w:szCs w:val="24"/>
          <w:highlight w:val="none"/>
        </w:rPr>
        <w:t xml:space="preserve">6.供应商承担安装调试及展会期间设备和人员的安全责任。 </w:t>
      </w:r>
    </w:p>
    <w:p>
      <w:pPr>
        <w:snapToGrid w:val="0"/>
        <w:spacing w:line="480" w:lineRule="exact"/>
        <w:ind w:firstLine="480" w:firstLineChars="200"/>
        <w:rPr>
          <w:rFonts w:hint="eastAsia"/>
          <w:color w:val="auto"/>
          <w:sz w:val="24"/>
          <w:szCs w:val="24"/>
          <w:highlight w:val="none"/>
          <w:lang w:val="zh-CN"/>
        </w:rPr>
      </w:pPr>
      <w:r>
        <w:rPr>
          <w:rFonts w:hint="eastAsia" w:hAnsi="宋体" w:cs="宋体"/>
          <w:color w:val="auto"/>
          <w:sz w:val="24"/>
          <w:szCs w:val="24"/>
          <w:highlight w:val="none"/>
        </w:rPr>
        <w:t xml:space="preserve">7.展会期间现场各项设备设施的调制使用(提供充足的备品备件，以保障所供货物破损时，能在短时间内得到解决）、展台现场设施项目管理（饮水处、网线布置、环境卫生等工作的协调)、展会期间涉及安保、安监、消防等协调工作、搭建现场组织及人员管理等工作。 </w:t>
      </w:r>
    </w:p>
    <w:p>
      <w:pPr>
        <w:snapToGrid w:val="0"/>
        <w:spacing w:line="480" w:lineRule="exact"/>
        <w:ind w:firstLine="480" w:firstLineChars="200"/>
        <w:rPr>
          <w:rFonts w:hint="eastAsia"/>
          <w:color w:val="auto"/>
          <w:sz w:val="24"/>
          <w:szCs w:val="24"/>
          <w:highlight w:val="none"/>
          <w:lang w:val="zh-CN"/>
        </w:rPr>
      </w:pPr>
      <w:r>
        <w:rPr>
          <w:rFonts w:hint="eastAsia" w:hAnsi="宋体" w:cs="宋体"/>
          <w:color w:val="auto"/>
          <w:sz w:val="24"/>
          <w:szCs w:val="24"/>
          <w:highlight w:val="none"/>
        </w:rPr>
        <w:t xml:space="preserve">8.相关费用：展台的设计、制作、安装、拆卸、运输费用，以及搭建临时用电费、特装管理费、施工管理费、施工证件费、施工车证费、展台押金、加班费、保险费、卫生保洁费、垃圾处理费、安保等费用由供应商自行解决。 </w:t>
      </w:r>
    </w:p>
    <w:p>
      <w:pPr>
        <w:snapToGrid w:val="0"/>
        <w:spacing w:line="480" w:lineRule="exact"/>
        <w:ind w:firstLine="480" w:firstLineChars="200"/>
        <w:rPr>
          <w:rFonts w:hint="eastAsia"/>
          <w:color w:val="auto"/>
          <w:sz w:val="24"/>
          <w:szCs w:val="24"/>
          <w:highlight w:val="none"/>
          <w:lang w:val="zh-CN"/>
        </w:rPr>
      </w:pPr>
      <w:r>
        <w:rPr>
          <w:rFonts w:hint="eastAsia" w:hAnsi="宋体" w:cs="宋体"/>
          <w:color w:val="auto"/>
          <w:sz w:val="24"/>
          <w:szCs w:val="24"/>
          <w:highlight w:val="none"/>
        </w:rPr>
        <w:t xml:space="preserve">9.供应商应具备良好的现场服务支持能力。有专职的项目管理人员，能及时响应采购人需求服务。 </w:t>
      </w:r>
    </w:p>
    <w:p>
      <w:pPr>
        <w:snapToGrid w:val="0"/>
        <w:spacing w:line="480" w:lineRule="exact"/>
        <w:ind w:firstLine="480" w:firstLineChars="200"/>
        <w:rPr>
          <w:rFonts w:hint="eastAsia"/>
          <w:color w:val="auto"/>
          <w:sz w:val="24"/>
          <w:szCs w:val="24"/>
          <w:highlight w:val="none"/>
        </w:rPr>
      </w:pPr>
      <w:r>
        <w:rPr>
          <w:rFonts w:hint="eastAsia" w:hAnsi="宋体" w:cs="宋体"/>
          <w:color w:val="auto"/>
          <w:sz w:val="24"/>
          <w:szCs w:val="24"/>
          <w:highlight w:val="none"/>
        </w:rPr>
        <w:t>10.采购方人配合工作：负责办妥施工前有关手续并配合</w:t>
      </w:r>
      <w:r>
        <w:rPr>
          <w:rFonts w:hint="eastAsia" w:cs="宋体"/>
          <w:color w:val="auto"/>
          <w:sz w:val="24"/>
          <w:szCs w:val="24"/>
          <w:highlight w:val="none"/>
        </w:rPr>
        <w:t>中标供应商</w:t>
      </w:r>
      <w:r>
        <w:rPr>
          <w:rFonts w:hint="eastAsia" w:hAnsi="宋体" w:cs="宋体"/>
          <w:color w:val="auto"/>
          <w:sz w:val="24"/>
          <w:szCs w:val="24"/>
          <w:highlight w:val="none"/>
        </w:rPr>
        <w:t>办理有关验收手续。</w:t>
      </w:r>
    </w:p>
    <w:p>
      <w:pPr>
        <w:spacing w:line="360" w:lineRule="auto"/>
        <w:ind w:left="210" w:leftChars="100" w:firstLine="241" w:firstLineChars="100"/>
        <w:rPr>
          <w:rFonts w:hint="eastAsia" w:ascii="宋体" w:hAnsi="宋体" w:cs="宋体"/>
          <w:b/>
          <w:color w:val="auto"/>
          <w:sz w:val="24"/>
          <w:szCs w:val="24"/>
          <w:highlight w:val="none"/>
        </w:rPr>
      </w:pPr>
      <w:r>
        <w:rPr>
          <w:rFonts w:ascii="宋体" w:hAnsi="宋体" w:cs="宋体"/>
          <w:b/>
          <w:color w:val="auto"/>
          <w:sz w:val="24"/>
          <w:szCs w:val="24"/>
          <w:highlight w:val="none"/>
        </w:rPr>
        <w:t>第</w:t>
      </w:r>
      <w:r>
        <w:rPr>
          <w:rFonts w:hint="eastAsia" w:ascii="宋体" w:hAnsi="宋体" w:cs="宋体"/>
          <w:b/>
          <w:color w:val="auto"/>
          <w:sz w:val="24"/>
          <w:szCs w:val="24"/>
          <w:highlight w:val="none"/>
        </w:rPr>
        <w:t>四</w:t>
      </w:r>
      <w:r>
        <w:rPr>
          <w:rFonts w:ascii="宋体" w:hAnsi="宋体" w:cs="宋体"/>
          <w:b/>
          <w:color w:val="auto"/>
          <w:sz w:val="24"/>
          <w:szCs w:val="24"/>
          <w:highlight w:val="none"/>
        </w:rPr>
        <w:t>部分：</w:t>
      </w:r>
      <w:r>
        <w:rPr>
          <w:rFonts w:hint="eastAsia" w:ascii="宋体" w:hAnsi="宋体" w:cs="宋体"/>
          <w:b/>
          <w:color w:val="auto"/>
          <w:sz w:val="24"/>
          <w:szCs w:val="24"/>
          <w:highlight w:val="none"/>
        </w:rPr>
        <w:t>宣传推广</w:t>
      </w:r>
    </w:p>
    <w:p>
      <w:pPr>
        <w:pStyle w:val="2"/>
        <w:ind w:firstLine="480" w:firstLineChars="200"/>
        <w:rPr>
          <w:rFonts w:hint="eastAsia" w:hAnsi="宋体" w:cs="宋体"/>
          <w:color w:val="auto"/>
          <w:sz w:val="24"/>
          <w:szCs w:val="24"/>
          <w:highlight w:val="none"/>
        </w:rPr>
      </w:pPr>
      <w:r>
        <w:rPr>
          <w:rFonts w:hint="eastAsia" w:hAnsi="宋体" w:cs="宋体"/>
          <w:color w:val="auto"/>
          <w:sz w:val="24"/>
          <w:szCs w:val="24"/>
          <w:highlight w:val="none"/>
        </w:rPr>
        <w:t>参展前活动预热、参展期间通过各种线上、线下渠道宣传推广此次活动。</w:t>
      </w:r>
    </w:p>
    <w:p>
      <w:pPr>
        <w:spacing w:line="360" w:lineRule="auto"/>
        <w:ind w:firstLine="482" w:firstLineChars="200"/>
        <w:rPr>
          <w:rFonts w:hint="eastAsia" w:ascii="宋体" w:hAnsi="宋体" w:cs="宋体"/>
          <w:b/>
          <w:color w:val="auto"/>
          <w:sz w:val="24"/>
          <w:szCs w:val="24"/>
          <w:highlight w:val="none"/>
        </w:rPr>
      </w:pPr>
      <w:r>
        <w:rPr>
          <w:rFonts w:ascii="宋体" w:hAnsi="宋体" w:cs="宋体"/>
          <w:b/>
          <w:color w:val="auto"/>
          <w:sz w:val="24"/>
          <w:szCs w:val="24"/>
          <w:highlight w:val="none"/>
        </w:rPr>
        <w:t>三、商务要求</w:t>
      </w:r>
    </w:p>
    <w:p>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供应商需自行承担其工作人员的全部费用，包括但不限于差旅、住宿、餐饮、保险等。</w:t>
      </w:r>
    </w:p>
    <w:p>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供应商需为其工作人员及施工安全负责，购买必要的保险，并遵守所有安全规定。因供应商原因造成的任何安全事故、财产损失或法律纠纷，由供应商承担全部责任。</w:t>
      </w:r>
    </w:p>
    <w:p>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供应商需确保其设计、搭建、展示内容、宣传活动等不侵犯任何第三方的知识产权。如有侵权，由供应商承担全部责任。</w:t>
      </w:r>
    </w:p>
    <w:p>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展会期间由采购人提供的展品、资料等物资，供应商需负责看管好分配给其责任区的物品，如有损坏或丢失应负责赔偿。</w:t>
      </w:r>
    </w:p>
    <w:p>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供应商应配合采购人完成对搭建、布置、展示效果的验收。</w:t>
      </w:r>
    </w:p>
    <w:p>
      <w:pPr>
        <w:spacing w:line="360" w:lineRule="auto"/>
        <w:ind w:firstLine="482" w:firstLineChars="200"/>
        <w:rPr>
          <w:rFonts w:hint="eastAsia" w:ascii="宋体" w:hAnsi="宋体" w:cs="宋体"/>
          <w:b/>
          <w:color w:val="auto"/>
          <w:sz w:val="24"/>
          <w:szCs w:val="24"/>
          <w:highlight w:val="none"/>
        </w:rPr>
      </w:pPr>
      <w:r>
        <w:rPr>
          <w:rFonts w:ascii="宋体" w:hAnsi="宋体" w:cs="宋体"/>
          <w:b/>
          <w:color w:val="auto"/>
          <w:sz w:val="24"/>
          <w:szCs w:val="24"/>
          <w:highlight w:val="none"/>
        </w:rPr>
        <w:t>四、付款方式</w:t>
      </w:r>
    </w:p>
    <w:p>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签订合同后采购人支付合同总金额的【30】%作为预付款。</w:t>
      </w:r>
    </w:p>
    <w:p>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所有搭建物料制作完成并经采购人确认、进场搭建前支付合同总金额的【40】%。</w:t>
      </w:r>
    </w:p>
    <w:p>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展会结束后，供应商提供完整结算资料并经采购人审核确认后支付合同总金额的【</w:t>
      </w:r>
      <w:r>
        <w:rPr>
          <w:rFonts w:hint="eastAsia" w:ascii="宋体" w:hAnsi="宋体" w:cs="宋体"/>
          <w:color w:val="auto"/>
          <w:sz w:val="24"/>
          <w:szCs w:val="24"/>
          <w:highlight w:val="none"/>
        </w:rPr>
        <w:t>20</w:t>
      </w:r>
      <w:r>
        <w:rPr>
          <w:rFonts w:ascii="宋体" w:hAnsi="宋体" w:cs="宋体"/>
          <w:color w:val="auto"/>
          <w:sz w:val="24"/>
          <w:szCs w:val="24"/>
          <w:highlight w:val="none"/>
        </w:rPr>
        <w:t>】%。</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余款</w:t>
      </w:r>
      <w:r>
        <w:rPr>
          <w:rFonts w:ascii="宋体" w:hAnsi="宋体" w:cs="宋体"/>
          <w:color w:val="auto"/>
          <w:sz w:val="24"/>
          <w:szCs w:val="24"/>
          <w:highlight w:val="none"/>
        </w:rPr>
        <w:t>在展会结束后无质量问题和其他争议后无息支付。</w:t>
      </w:r>
    </w:p>
    <w:p>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每次付款前，供应商须提供符合要求的等额增值税专用发票。</w:t>
      </w:r>
    </w:p>
    <w:p>
      <w:pPr>
        <w:spacing w:line="360" w:lineRule="auto"/>
        <w:ind w:firstLine="482" w:firstLineChars="200"/>
        <w:rPr>
          <w:rFonts w:hint="eastAsia" w:ascii="宋体" w:hAnsi="宋体" w:cs="宋体"/>
          <w:b/>
          <w:color w:val="auto"/>
          <w:sz w:val="24"/>
          <w:szCs w:val="24"/>
          <w:highlight w:val="none"/>
        </w:rPr>
      </w:pPr>
      <w:r>
        <w:rPr>
          <w:rFonts w:ascii="宋体" w:hAnsi="宋体" w:cs="宋体"/>
          <w:b/>
          <w:color w:val="auto"/>
          <w:sz w:val="24"/>
          <w:szCs w:val="24"/>
          <w:highlight w:val="none"/>
        </w:rPr>
        <w:t>五、违约责任</w:t>
      </w:r>
    </w:p>
    <w:p>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供应商未能按合同约定时间完成各项工作的，应承担由此给采购人造成的损失，每逾期一日，应按合同总金额的【</w:t>
      </w:r>
      <w:r>
        <w:rPr>
          <w:rFonts w:hint="eastAsia" w:ascii="宋体" w:hAnsi="宋体" w:cs="宋体"/>
          <w:color w:val="auto"/>
          <w:sz w:val="24"/>
          <w:szCs w:val="24"/>
          <w:highlight w:val="none"/>
          <w:lang w:val="en-US" w:eastAsia="zh-CN"/>
        </w:rPr>
        <w:t>20</w:t>
      </w:r>
      <w:r>
        <w:rPr>
          <w:rFonts w:ascii="宋体" w:hAnsi="宋体" w:cs="宋体"/>
          <w:color w:val="auto"/>
          <w:sz w:val="24"/>
          <w:szCs w:val="24"/>
          <w:highlight w:val="none"/>
        </w:rPr>
        <w:t>】%支付违约金。</w:t>
      </w:r>
    </w:p>
    <w:p>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供应商完成的工作质量不符合合同约定或行业标准的，采购人有权要求其无偿返工、修复直至符合要求。若无法修复或拒绝修复，采购人有权扣除相应款项并要求赔偿损失。</w:t>
      </w:r>
    </w:p>
    <w:p>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供应商在展台设计、搭建或宣传活动中侵犯第三方合法权益，导致采购人遭受损失的，供应商应负责处理并承担全部赔偿责任。</w:t>
      </w:r>
    </w:p>
    <w:p>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其他未尽违约责任事宜，按《中华人民共和国民法典》等相关法律法规执行。</w:t>
      </w:r>
    </w:p>
    <w:p>
      <w:pPr>
        <w:adjustRightInd w:val="0"/>
        <w:spacing w:line="360" w:lineRule="auto"/>
        <w:ind w:firstLine="482" w:firstLineChars="200"/>
        <w:rPr>
          <w:rFonts w:ascii="宋体" w:cs="宋体"/>
          <w:b/>
          <w:bCs/>
          <w:color w:val="auto"/>
          <w:kern w:val="0"/>
          <w:sz w:val="24"/>
          <w:szCs w:val="24"/>
          <w:highlight w:val="none"/>
        </w:rPr>
      </w:pPr>
      <w:r>
        <w:rPr>
          <w:rFonts w:hint="eastAsia" w:ascii="宋体" w:cs="宋体"/>
          <w:b/>
          <w:bCs/>
          <w:color w:val="auto"/>
          <w:kern w:val="0"/>
          <w:sz w:val="24"/>
          <w:szCs w:val="24"/>
          <w:highlight w:val="none"/>
        </w:rPr>
        <w:t>六、相关要求</w:t>
      </w:r>
    </w:p>
    <w:p>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1.本项目的施工过程和布展工作必须严格按照施工质量应符合现行国家技术、施工及验收规范规程，对施工工艺的特殊要求，按图纸及国家有关规定执行。 </w:t>
      </w:r>
    </w:p>
    <w:p>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2.质量要求：按相关工程施工质量验收规范合格标准。制作安装等服务应响应迅速，施工及时并符合采购人及展馆要求。 </w:t>
      </w:r>
    </w:p>
    <w:p>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3.安全要求：要求在开工前和布展（或布置）实施期间做好安全文明标化管理，要求在磋商响应文件中阐述有关布展（或布置）实施方案和管理措施，并作出相应承诺，确保场内外道路清洁畅通，确保来往车辆、人员、施工安全。符合布展制作及施工安装等安全要求，涉及到电气布线、安装等应符合消防安全要求，确保安全可靠，所有结构应与展台自身主体结构连接，严禁在展馆天花板、梁、柱、围栏或各种专用管线上吊挂、捆绑。在项目实施过程（包括搭建及活动期间等）期间以及一切由于供应商实施的工作问题导致的安全责任均由供应商承担，采购人概不负责。 </w:t>
      </w:r>
    </w:p>
    <w:p>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4.技术规格：施工符合展馆规范要求，制作工艺细致。整体外观与设计效果保持一致，现场安装施工严谨精细，标识、画面等内容无错误。 </w:t>
      </w:r>
    </w:p>
    <w:p>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5.施工要求： </w:t>
      </w:r>
    </w:p>
    <w:p>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搭建施工：依据磋商文件及设计方案，负责设备的租赁、安装、布置、活动期间本展区活动的技术、人员及设备保障。施工时能较好理解设计意图，用材适当并与环境相协调，性价比高，多媒体设备选配科学、合理，保证活动期间设备的稳定耐用。 </w:t>
      </w:r>
    </w:p>
    <w:p>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（2）工程组织周密。要科学制定合理的施工组织实施方案，统筹协调布展进度，使各分项组织实施的全过程及各个环节始终处于受控状态，施工工艺满足国家、省、市现行标准、规范的相关文件要求。 </w:t>
      </w:r>
    </w:p>
    <w:p>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（3）坚持安全施工。要强化安全生产意识，建立规范化、标准化、制度化的管理体系，确保施工现场的结构安全、消防安全、电气安全，以及人身安全等，以达到优质的展示效果。 </w:t>
      </w:r>
    </w:p>
    <w:p>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6.场地布置验收标准：满足采购人要求，包括规划、设计、施工与采购人需求一致，准确无误。制作工艺细致，符合消防标准。发光字、供电电源、照明灯管应质量优良，安装合理。画面色彩均匀、清晰、饱满，观感良好。灯箱透光性均匀，美观大方，胶接牢固等。 </w:t>
      </w:r>
    </w:p>
    <w:p>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7.服务标准、效率： </w:t>
      </w:r>
    </w:p>
    <w:p>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（1）服务标准：满足采购人要求，符合我国相关技术规范和质量标准。 </w:t>
      </w:r>
    </w:p>
    <w:p>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（2）服务效率：根据采购人要求及时修改方案、及时施工、及时响应。</w:t>
      </w:r>
    </w:p>
    <w:p>
      <w:pPr>
        <w:rPr>
          <w:color w:val="auto"/>
          <w:highlight w:val="none"/>
        </w:rPr>
      </w:pPr>
    </w:p>
    <w:p>
      <w:pPr>
        <w:pStyle w:val="22"/>
        <w:rPr>
          <w:color w:val="auto"/>
          <w:highlight w:val="none"/>
        </w:rPr>
      </w:pPr>
    </w:p>
    <w:p>
      <w:pPr>
        <w:snapToGrid w:val="0"/>
        <w:spacing w:line="520" w:lineRule="exact"/>
        <w:ind w:firstLine="494" w:firstLineChars="206"/>
        <w:rPr>
          <w:rFonts w:hint="eastAsia" w:ascii="宋体" w:hAnsi="宋体" w:cs="宋体"/>
          <w:bCs/>
          <w:color w:val="auto"/>
          <w:sz w:val="24"/>
          <w:szCs w:val="24"/>
          <w:highlight w:val="none"/>
        </w:rPr>
      </w:pPr>
      <w:r>
        <w:rPr>
          <w:rFonts w:hint="eastAsia" w:ascii="宋体" w:hAnsi="宋体" w:cs="宋体"/>
          <w:bCs/>
          <w:color w:val="auto"/>
          <w:sz w:val="24"/>
          <w:szCs w:val="24"/>
          <w:highlight w:val="none"/>
        </w:rPr>
        <w:br w:type="page"/>
      </w:r>
    </w:p>
    <w:p>
      <w:pPr>
        <w:spacing w:line="360" w:lineRule="auto"/>
        <w:jc w:val="center"/>
        <w:rPr>
          <w:rFonts w:hint="eastAsia" w:ascii="宋体" w:hAnsi="宋体" w:cs="宋体"/>
          <w:color w:val="auto"/>
          <w:w w:val="80"/>
          <w:szCs w:val="44"/>
          <w:highlight w:val="none"/>
        </w:rPr>
      </w:pPr>
      <w:r>
        <w:rPr>
          <w:rFonts w:hint="eastAsia" w:ascii="宋体" w:hAnsi="宋体" w:cs="宋体"/>
          <w:b/>
          <w:color w:val="auto"/>
          <w:w w:val="80"/>
          <w:kern w:val="44"/>
          <w:sz w:val="44"/>
          <w:szCs w:val="44"/>
          <w:highlight w:val="none"/>
        </w:rPr>
        <w:t xml:space="preserve">第四章  </w:t>
      </w:r>
      <w:bookmarkStart w:id="23" w:name="_Toc182848996"/>
      <w:bookmarkStart w:id="24" w:name="_Toc38121794"/>
      <w:bookmarkStart w:id="25" w:name="_Toc43217893"/>
      <w:bookmarkStart w:id="26" w:name="_Toc37322565"/>
      <w:bookmarkStart w:id="27" w:name="_Toc85627670"/>
      <w:r>
        <w:rPr>
          <w:rFonts w:hint="eastAsia" w:ascii="宋体" w:hAnsi="宋体" w:cs="宋体"/>
          <w:b/>
          <w:color w:val="auto"/>
          <w:w w:val="80"/>
          <w:kern w:val="44"/>
          <w:sz w:val="44"/>
          <w:szCs w:val="44"/>
          <w:highlight w:val="none"/>
        </w:rPr>
        <w:t>评审方法和程序</w:t>
      </w:r>
    </w:p>
    <w:bookmarkEnd w:id="23"/>
    <w:bookmarkEnd w:id="24"/>
    <w:bookmarkEnd w:id="25"/>
    <w:bookmarkEnd w:id="26"/>
    <w:bookmarkEnd w:id="27"/>
    <w:p>
      <w:pPr>
        <w:snapToGrid w:val="0"/>
        <w:spacing w:line="480" w:lineRule="exact"/>
        <w:ind w:firstLine="482" w:firstLineChars="200"/>
        <w:outlineLvl w:val="1"/>
        <w:rPr>
          <w:rFonts w:hint="eastAsia" w:hAnsi="宋体" w:cs="宋体"/>
          <w:b/>
          <w:color w:val="auto"/>
          <w:sz w:val="24"/>
          <w:szCs w:val="24"/>
          <w:highlight w:val="none"/>
        </w:rPr>
      </w:pPr>
      <w:bookmarkStart w:id="28" w:name="_Toc363573857"/>
      <w:bookmarkEnd w:id="28"/>
      <w:r>
        <w:rPr>
          <w:rFonts w:hint="eastAsia" w:hAnsi="宋体" w:cs="宋体"/>
          <w:b/>
          <w:color w:val="auto"/>
          <w:sz w:val="24"/>
          <w:szCs w:val="24"/>
          <w:highlight w:val="none"/>
        </w:rPr>
        <w:t>一、代理机构组织磋商</w:t>
      </w:r>
    </w:p>
    <w:p>
      <w:pPr>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1.本次竞争性磋商依据有关法规成立磋商小组。磋商小组由评审专家共3人及以上单数组成。</w:t>
      </w:r>
    </w:p>
    <w:p>
      <w:pPr>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2.磋商小组的职责：</w:t>
      </w:r>
    </w:p>
    <w:p>
      <w:pPr>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（1）磋商小组成员应当按照客观、公正、审慎的原则，根据磋商文件规定的评审程序、评审方法和评审标准进行独立评审。</w:t>
      </w:r>
    </w:p>
    <w:p>
      <w:pPr>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（2）磋商小组成员应当遵守评审工作纪律，不得泄露评审情况和评审中获悉的商业秘密，对个人的评审意见承担法律责任；</w:t>
      </w:r>
    </w:p>
    <w:p>
      <w:pPr>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（3）磋商小组成员在评审过程中发现供应商有行贿、提供虚假材料或者串通等违法行为的，应当及时向相关部门报告。</w:t>
      </w:r>
    </w:p>
    <w:p>
      <w:pPr>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（4）磋商小组成员在评审过程中受到非法干涉的，应当及时向相关部门举报。</w:t>
      </w:r>
    </w:p>
    <w:p>
      <w:pPr>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（5）配合采购单位答复供应商提出的质疑；配合相关部门的投诉处理和监督检查工作。</w:t>
      </w:r>
    </w:p>
    <w:p>
      <w:pPr>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3.评审有关记录由磋商小组成员签名，存档备查。</w:t>
      </w:r>
    </w:p>
    <w:p>
      <w:pPr>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4.供应商的法定代表人或被授权人须持身份证准时参加磋商开标会。</w:t>
      </w:r>
    </w:p>
    <w:p>
      <w:pPr>
        <w:snapToGrid w:val="0"/>
        <w:spacing w:line="480" w:lineRule="exact"/>
        <w:ind w:firstLine="482" w:firstLineChars="200"/>
        <w:outlineLvl w:val="1"/>
        <w:rPr>
          <w:rFonts w:hint="eastAsia" w:hAnsi="宋体" w:cs="宋体"/>
          <w:b/>
          <w:color w:val="auto"/>
          <w:sz w:val="24"/>
          <w:szCs w:val="24"/>
          <w:highlight w:val="none"/>
        </w:rPr>
      </w:pPr>
      <w:r>
        <w:rPr>
          <w:rFonts w:hint="eastAsia" w:hAnsi="宋体" w:cs="宋体"/>
          <w:b/>
          <w:color w:val="auto"/>
          <w:sz w:val="24"/>
          <w:szCs w:val="24"/>
          <w:highlight w:val="none"/>
        </w:rPr>
        <w:t>二、磋商的原则及方法</w:t>
      </w:r>
    </w:p>
    <w:p>
      <w:pPr>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1.磋商小组依据有关采购的相关法规，遵循“公开、公平、公正、择优、信用”的原则进行磋商评审。</w:t>
      </w:r>
    </w:p>
    <w:p>
      <w:pPr>
        <w:snapToGrid w:val="0"/>
        <w:spacing w:line="480" w:lineRule="exact"/>
        <w:ind w:firstLine="484" w:firstLineChars="202"/>
        <w:rPr>
          <w:rFonts w:hint="eastAsia" w:hAnsi="宋体" w:cs="宋体"/>
          <w:color w:val="auto"/>
          <w:sz w:val="24"/>
          <w:szCs w:val="24"/>
          <w:highlight w:val="none"/>
        </w:rPr>
      </w:pPr>
      <w:r>
        <w:rPr>
          <w:rFonts w:hint="eastAsia" w:hAnsi="宋体" w:cs="宋体"/>
          <w:color w:val="auto"/>
          <w:sz w:val="24"/>
          <w:szCs w:val="24"/>
          <w:highlight w:val="none"/>
        </w:rPr>
        <w:t>2.磋商小组将按照竞争性磋商文件的规定，独立对每个进入打分程序的有效供应商的响应文件的商务技术部分以打分的形式进行评审和评价。商务技术分取算术平均值（计算结果均四舍五入保留两位小数）。</w:t>
      </w:r>
    </w:p>
    <w:p>
      <w:pPr>
        <w:snapToGrid w:val="0"/>
        <w:spacing w:line="480" w:lineRule="exact"/>
        <w:ind w:firstLine="484" w:firstLineChars="202"/>
        <w:rPr>
          <w:rFonts w:hint="eastAsia" w:hAnsi="宋体" w:cs="宋体"/>
          <w:color w:val="auto"/>
          <w:sz w:val="24"/>
          <w:szCs w:val="24"/>
          <w:highlight w:val="none"/>
        </w:rPr>
      </w:pPr>
      <w:r>
        <w:rPr>
          <w:rFonts w:hint="eastAsia" w:hAnsi="宋体" w:cs="宋体"/>
          <w:color w:val="auto"/>
          <w:sz w:val="24"/>
          <w:szCs w:val="24"/>
          <w:highlight w:val="none"/>
        </w:rPr>
        <w:t>3.磋商小组根据磋商文件规定的程序、评定成交的标准等事项与实质性响应磋商文件要求的供应商进行磋商。未实质性响应磋商文件要求的响应文件按无效处理，磋商小组应当告知提交响应文件的供应商。</w:t>
      </w:r>
    </w:p>
    <w:p>
      <w:pPr>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4.磋商小组所有成员可集中与单一供应商分别进行磋商，并给予所有参加磋商的供应商平等的磋商机会。</w:t>
      </w:r>
    </w:p>
    <w:p>
      <w:pPr>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5.在磋商过程中，磋商小组可以根据磋商文件和磋商情况实质性变动采购需求中的技术、服务要求以及合同草案条款，但不得变动磋商文件中的其他内容。实质性变动的内容，须经采购人代表确认。</w:t>
      </w:r>
    </w:p>
    <w:p>
      <w:pPr>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6.对磋商文件作出的实质性变动是磋商文件的有效组成部分，磋商小组应当及时以书面形式同时通知所有参加磋商的供应商。</w:t>
      </w:r>
    </w:p>
    <w:p>
      <w:pPr>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7.供应商应当按照磋商文件的变动情况和磋商小组的要求重新提交响应文件，并由其法定代表人或被授权人签字或者加盖公章。由被授权人签字的，应当附法定代表人授权书。供应商为自然人的，应当由本人签字并附身份证明。</w:t>
      </w:r>
    </w:p>
    <w:p>
      <w:pPr>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8.经磋商确定最终采购需求和提交最后报价的供应商：磋商文件能够详细列明采购标的的技术、服务要求的，磋商结束后，磋商小组应当要求所有实质性响应的供应商在规定时间内提交最后报价。</w:t>
      </w:r>
    </w:p>
    <w:p>
      <w:pPr>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9.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10.除非在磋商中磋商小组对采购单位需求内容作了调整增加，或对采购内容作了实质性变更，否则</w:t>
      </w:r>
      <w:r>
        <w:rPr>
          <w:rFonts w:hint="eastAsia" w:hAnsi="宋体" w:cs="宋体"/>
          <w:b/>
          <w:color w:val="auto"/>
          <w:sz w:val="24"/>
          <w:szCs w:val="24"/>
          <w:highlight w:val="none"/>
        </w:rPr>
        <w:t>采购单位不接受供应商高于自己前一轮的磋商报价</w:t>
      </w:r>
      <w:r>
        <w:rPr>
          <w:rFonts w:hint="eastAsia" w:hAnsi="宋体" w:cs="宋体"/>
          <w:color w:val="auto"/>
          <w:sz w:val="24"/>
          <w:szCs w:val="24"/>
          <w:highlight w:val="none"/>
        </w:rPr>
        <w:t>。</w:t>
      </w:r>
    </w:p>
    <w:p>
      <w:pPr>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11.对于在磋商顺利开始后至最终报价前，根据磋商情况退出磋商的供应商，须以书面形式说明退出磋商的原因，经磋商小组同意可以退出磋商。</w:t>
      </w:r>
    </w:p>
    <w:p>
      <w:pPr>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12.在磋商中，磋商的任何一方不得透露与磋商有关的其他响应磋商的供应商的技术资料、价格及其他信息。</w:t>
      </w:r>
    </w:p>
    <w:p>
      <w:pPr>
        <w:snapToGrid w:val="0"/>
        <w:spacing w:line="480" w:lineRule="exact"/>
        <w:ind w:firstLine="480" w:firstLineChars="200"/>
        <w:rPr>
          <w:rFonts w:hint="eastAsia" w:hAnsi="宋体"/>
          <w:color w:val="auto"/>
          <w:sz w:val="24"/>
          <w:szCs w:val="24"/>
          <w:highlight w:val="none"/>
        </w:rPr>
      </w:pPr>
      <w:r>
        <w:rPr>
          <w:rFonts w:hint="eastAsia" w:hAnsi="宋体" w:cs="宋体"/>
          <w:color w:val="auto"/>
          <w:sz w:val="24"/>
          <w:szCs w:val="24"/>
          <w:highlight w:val="none"/>
        </w:rPr>
        <w:t>13.</w:t>
      </w:r>
      <w:r>
        <w:rPr>
          <w:rFonts w:hint="eastAsia" w:hAnsi="宋体"/>
          <w:color w:val="auto"/>
          <w:sz w:val="24"/>
          <w:szCs w:val="24"/>
          <w:highlight w:val="none"/>
        </w:rPr>
        <w:t>单位负责人为同一人或者存在直接控股、管理关系的不同供应商，都不得在同一采购项目相同标段中同时参加磋商，一经发现，将视同围标处理。</w:t>
      </w:r>
    </w:p>
    <w:p>
      <w:pPr>
        <w:snapToGrid w:val="0"/>
        <w:spacing w:line="480" w:lineRule="exact"/>
        <w:ind w:firstLine="480" w:firstLineChars="200"/>
        <w:rPr>
          <w:rFonts w:hint="eastAsia" w:hAnsi="宋体"/>
          <w:color w:val="auto"/>
          <w:sz w:val="24"/>
          <w:szCs w:val="24"/>
          <w:highlight w:val="none"/>
        </w:rPr>
      </w:pPr>
      <w:r>
        <w:rPr>
          <w:rFonts w:hint="eastAsia" w:hAnsi="宋体" w:cs="宋体"/>
          <w:color w:val="auto"/>
          <w:sz w:val="24"/>
          <w:szCs w:val="24"/>
          <w:highlight w:val="none"/>
        </w:rPr>
        <w:t>14.</w:t>
      </w:r>
      <w:r>
        <w:rPr>
          <w:rFonts w:hint="eastAsia" w:hAnsi="宋体"/>
          <w:color w:val="auto"/>
          <w:sz w:val="24"/>
          <w:szCs w:val="24"/>
          <w:highlight w:val="none"/>
        </w:rPr>
        <w:t>评审过程中出现下列情形之一的，磋商小组应当启动异常低价响应审查程序：</w:t>
      </w:r>
    </w:p>
    <w:p>
      <w:pPr>
        <w:snapToGrid w:val="0"/>
        <w:spacing w:line="480" w:lineRule="exact"/>
        <w:ind w:firstLine="480" w:firstLineChars="200"/>
        <w:rPr>
          <w:rFonts w:hint="eastAsia" w:hAnsi="宋体"/>
          <w:color w:val="auto"/>
          <w:sz w:val="24"/>
          <w:szCs w:val="24"/>
          <w:highlight w:val="none"/>
        </w:rPr>
      </w:pPr>
      <w:r>
        <w:rPr>
          <w:rFonts w:hint="eastAsia" w:hAnsi="宋体"/>
          <w:color w:val="auto"/>
          <w:sz w:val="24"/>
          <w:szCs w:val="24"/>
          <w:highlight w:val="none"/>
        </w:rPr>
        <w:t>（1）报价低于采购项目预算50%的，即报价＜采购项目预算*50%；</w:t>
      </w:r>
    </w:p>
    <w:p>
      <w:pPr>
        <w:snapToGrid w:val="0"/>
        <w:spacing w:line="480" w:lineRule="exact"/>
        <w:ind w:firstLine="480" w:firstLineChars="200"/>
        <w:rPr>
          <w:rFonts w:hint="eastAsia" w:hAnsi="宋体"/>
          <w:color w:val="auto"/>
          <w:sz w:val="24"/>
          <w:szCs w:val="24"/>
          <w:highlight w:val="none"/>
        </w:rPr>
      </w:pPr>
      <w:r>
        <w:rPr>
          <w:rFonts w:hint="eastAsia" w:hAnsi="宋体"/>
          <w:color w:val="auto"/>
          <w:sz w:val="24"/>
          <w:szCs w:val="24"/>
          <w:highlight w:val="none"/>
        </w:rPr>
        <w:t>（2）报价低于采购项目最高限价45%的，即报价＜采购项目最高限价*45%；</w:t>
      </w:r>
    </w:p>
    <w:p>
      <w:pPr>
        <w:snapToGrid w:val="0"/>
        <w:spacing w:line="480" w:lineRule="exact"/>
        <w:ind w:firstLine="480" w:firstLineChars="200"/>
        <w:rPr>
          <w:rFonts w:hint="eastAsia" w:hAnsi="宋体"/>
          <w:color w:val="auto"/>
          <w:sz w:val="24"/>
          <w:szCs w:val="24"/>
          <w:highlight w:val="none"/>
        </w:rPr>
      </w:pPr>
      <w:r>
        <w:rPr>
          <w:rFonts w:hint="eastAsia" w:hAnsi="宋体"/>
          <w:color w:val="auto"/>
          <w:sz w:val="24"/>
          <w:szCs w:val="24"/>
          <w:highlight w:val="none"/>
        </w:rPr>
        <w:t>（3）磋商小组认定的供应商报价过低、有可能影响产品质量或者不能诚信履约的其他情形。</w:t>
      </w:r>
    </w:p>
    <w:p>
      <w:pPr>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15.启动异常低价响应审查后，磋商小组应当要求相关供应商在评标现场合理的时间内，提供项目具体成本测算等与报价合理性相关的书面说明及相关证明材料，对响应价格做出解释，由磋商小组结合同类产品在主要电商平台的价格、该行业当地薪资水平等情况，依据专业经验对供应商报价合理性进行判断。响应供应商不提供书面说明、证明材料，或者提供的书面说明、证明材料不能证明其报价合理性的，磋商小组应当将其作为无效响应处理。审查情况应当在评审报告中进行记录。</w:t>
      </w:r>
    </w:p>
    <w:p>
      <w:pPr>
        <w:snapToGrid w:val="0"/>
        <w:spacing w:line="480" w:lineRule="exact"/>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16.若符合资格条件的供应商满三家，在采购过程中符合要求的供应商只有两家，则由磋商小组集体讨论决定是否继续进行竞争性磋商采购活动；若采购过程中符合要求的供应商只有一家，则终止本次竞争性磋商采购活动，重新开展采购活动。</w:t>
      </w:r>
    </w:p>
    <w:p>
      <w:pPr>
        <w:snapToGrid w:val="0"/>
        <w:spacing w:line="480" w:lineRule="exact"/>
        <w:ind w:firstLine="482" w:firstLineChars="200"/>
        <w:outlineLvl w:val="1"/>
        <w:rPr>
          <w:rFonts w:hint="eastAsia" w:hAnsi="宋体" w:cs="宋体"/>
          <w:b/>
          <w:color w:val="auto"/>
          <w:sz w:val="24"/>
          <w:szCs w:val="24"/>
          <w:highlight w:val="none"/>
        </w:rPr>
      </w:pPr>
      <w:r>
        <w:rPr>
          <w:rFonts w:hint="eastAsia" w:hAnsi="宋体" w:cs="宋体"/>
          <w:b/>
          <w:color w:val="auto"/>
          <w:sz w:val="24"/>
          <w:szCs w:val="24"/>
          <w:highlight w:val="none"/>
        </w:rPr>
        <w:t>三、评审步骤</w:t>
      </w:r>
    </w:p>
    <w:p>
      <w:pPr>
        <w:snapToGrid w:val="0"/>
        <w:spacing w:line="480" w:lineRule="exact"/>
        <w:ind w:firstLine="482" w:firstLineChars="200"/>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1.评审步骤规定：</w:t>
      </w:r>
    </w:p>
    <w:p>
      <w:pPr>
        <w:snapToGrid w:val="0"/>
        <w:spacing w:line="480" w:lineRule="exact"/>
        <w:ind w:firstLine="482" w:firstLineChars="200"/>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本次资格审查采用资格后审，各供应商资格审查通过后方能进入</w:t>
      </w:r>
      <w:r>
        <w:rPr>
          <w:rFonts w:hint="eastAsia" w:ascii="宋体" w:hAnsi="宋体" w:cs="宋体"/>
          <w:b/>
          <w:bCs/>
          <w:color w:val="auto"/>
          <w:sz w:val="24"/>
          <w:szCs w:val="24"/>
          <w:highlight w:val="none"/>
        </w:rPr>
        <w:t>商务</w:t>
      </w:r>
      <w:r>
        <w:rPr>
          <w:rFonts w:hint="eastAsia" w:ascii="宋体" w:hAnsi="宋体" w:cs="宋体"/>
          <w:b/>
          <w:bCs/>
          <w:color w:val="auto"/>
          <w:sz w:val="24"/>
          <w:szCs w:val="24"/>
          <w:highlight w:val="none"/>
          <w:lang w:val="zh-CN"/>
        </w:rPr>
        <w:t>技术</w:t>
      </w:r>
      <w:r>
        <w:rPr>
          <w:rFonts w:hint="eastAsia" w:ascii="宋体" w:hAnsi="宋体" w:cs="宋体"/>
          <w:b/>
          <w:bCs/>
          <w:color w:val="auto"/>
          <w:sz w:val="24"/>
          <w:szCs w:val="24"/>
          <w:highlight w:val="none"/>
        </w:rPr>
        <w:t>响应文件</w:t>
      </w:r>
      <w:r>
        <w:rPr>
          <w:rFonts w:hint="eastAsia" w:ascii="宋体" w:hAnsi="宋体" w:cs="宋体"/>
          <w:b/>
          <w:bCs/>
          <w:color w:val="auto"/>
          <w:sz w:val="24"/>
          <w:szCs w:val="24"/>
          <w:highlight w:val="none"/>
          <w:lang w:val="zh-CN"/>
        </w:rPr>
        <w:t>的开标。先开</w:t>
      </w:r>
      <w:r>
        <w:rPr>
          <w:rFonts w:hint="eastAsia" w:ascii="宋体" w:hAnsi="宋体" w:cs="宋体"/>
          <w:b/>
          <w:bCs/>
          <w:color w:val="auto"/>
          <w:sz w:val="24"/>
          <w:szCs w:val="24"/>
          <w:highlight w:val="none"/>
        </w:rPr>
        <w:t>商务</w:t>
      </w:r>
      <w:r>
        <w:rPr>
          <w:rFonts w:hint="eastAsia" w:ascii="宋体" w:hAnsi="宋体" w:cs="宋体"/>
          <w:b/>
          <w:bCs/>
          <w:color w:val="auto"/>
          <w:sz w:val="24"/>
          <w:szCs w:val="24"/>
          <w:highlight w:val="none"/>
          <w:lang w:val="zh-CN"/>
        </w:rPr>
        <w:t>技术</w:t>
      </w:r>
      <w:r>
        <w:rPr>
          <w:rFonts w:hint="eastAsia" w:ascii="宋体" w:hAnsi="宋体" w:cs="宋体"/>
          <w:b/>
          <w:bCs/>
          <w:color w:val="auto"/>
          <w:sz w:val="24"/>
          <w:szCs w:val="24"/>
          <w:highlight w:val="none"/>
        </w:rPr>
        <w:t>响应文件</w:t>
      </w:r>
      <w:r>
        <w:rPr>
          <w:rFonts w:hint="eastAsia" w:ascii="宋体" w:hAnsi="宋体" w:cs="宋体"/>
          <w:b/>
          <w:bCs/>
          <w:color w:val="auto"/>
          <w:sz w:val="24"/>
          <w:szCs w:val="24"/>
          <w:highlight w:val="none"/>
          <w:lang w:val="zh-CN"/>
        </w:rPr>
        <w:t>，</w:t>
      </w:r>
      <w:r>
        <w:rPr>
          <w:rFonts w:hint="eastAsia" w:ascii="宋体" w:hAnsi="宋体" w:cs="宋体"/>
          <w:b/>
          <w:bCs/>
          <w:color w:val="auto"/>
          <w:sz w:val="24"/>
          <w:szCs w:val="24"/>
          <w:highlight w:val="none"/>
        </w:rPr>
        <w:t>商务</w:t>
      </w:r>
      <w:r>
        <w:rPr>
          <w:rFonts w:hint="eastAsia" w:ascii="宋体" w:hAnsi="宋体" w:cs="宋体"/>
          <w:b/>
          <w:bCs/>
          <w:color w:val="auto"/>
          <w:sz w:val="24"/>
          <w:szCs w:val="24"/>
          <w:highlight w:val="none"/>
          <w:lang w:val="zh-CN"/>
        </w:rPr>
        <w:t>技术</w:t>
      </w:r>
      <w:r>
        <w:rPr>
          <w:rFonts w:hint="eastAsia" w:ascii="宋体" w:hAnsi="宋体" w:cs="宋体"/>
          <w:b/>
          <w:bCs/>
          <w:color w:val="auto"/>
          <w:sz w:val="24"/>
          <w:szCs w:val="24"/>
          <w:highlight w:val="none"/>
        </w:rPr>
        <w:t>响应文件</w:t>
      </w:r>
      <w:r>
        <w:rPr>
          <w:rFonts w:hint="eastAsia" w:ascii="宋体" w:hAnsi="宋体" w:cs="宋体"/>
          <w:b/>
          <w:bCs/>
          <w:color w:val="auto"/>
          <w:sz w:val="24"/>
          <w:szCs w:val="24"/>
          <w:highlight w:val="none"/>
          <w:lang w:val="zh-CN"/>
        </w:rPr>
        <w:t>打分结束后再开</w:t>
      </w:r>
      <w:r>
        <w:rPr>
          <w:rFonts w:hint="eastAsia" w:ascii="宋体" w:hAnsi="宋体" w:cs="宋体"/>
          <w:b/>
          <w:bCs/>
          <w:color w:val="auto"/>
          <w:sz w:val="24"/>
          <w:szCs w:val="24"/>
          <w:highlight w:val="none"/>
        </w:rPr>
        <w:t>报价响应文件</w:t>
      </w:r>
      <w:r>
        <w:rPr>
          <w:rFonts w:hint="eastAsia" w:ascii="宋体" w:hAnsi="宋体" w:cs="宋体"/>
          <w:b/>
          <w:bCs/>
          <w:color w:val="auto"/>
          <w:sz w:val="24"/>
          <w:szCs w:val="24"/>
          <w:highlight w:val="none"/>
          <w:lang w:val="zh-CN"/>
        </w:rPr>
        <w:t>。</w:t>
      </w:r>
    </w:p>
    <w:p>
      <w:pPr>
        <w:snapToGrid w:val="0"/>
        <w:spacing w:line="480" w:lineRule="exact"/>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第一阶段：</w:t>
      </w:r>
      <w:r>
        <w:rPr>
          <w:rFonts w:hint="eastAsia" w:ascii="宋体" w:hAnsi="宋体" w:cs="宋体"/>
          <w:color w:val="auto"/>
          <w:sz w:val="24"/>
          <w:highlight w:val="none"/>
        </w:rPr>
        <w:t>磋商小组</w:t>
      </w:r>
      <w:r>
        <w:rPr>
          <w:rFonts w:hint="eastAsia" w:ascii="宋体" w:hAnsi="宋体" w:cs="宋体"/>
          <w:color w:val="auto"/>
          <w:sz w:val="24"/>
          <w:szCs w:val="24"/>
          <w:highlight w:val="none"/>
          <w:lang w:val="zh-CN"/>
        </w:rPr>
        <w:t>对每个供应商的资格进行审查。</w:t>
      </w:r>
    </w:p>
    <w:p>
      <w:pPr>
        <w:snapToGrid w:val="0"/>
        <w:spacing w:line="480" w:lineRule="exact"/>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第二阶段：</w:t>
      </w:r>
      <w:r>
        <w:rPr>
          <w:rFonts w:hint="eastAsia" w:ascii="宋体" w:hAnsi="宋体" w:cs="宋体"/>
          <w:color w:val="auto"/>
          <w:sz w:val="24"/>
          <w:highlight w:val="none"/>
        </w:rPr>
        <w:t>磋商小组</w:t>
      </w:r>
      <w:r>
        <w:rPr>
          <w:rFonts w:hint="eastAsia" w:ascii="宋体" w:hAnsi="宋体" w:cs="宋体"/>
          <w:color w:val="auto"/>
          <w:sz w:val="24"/>
          <w:szCs w:val="24"/>
          <w:highlight w:val="none"/>
          <w:lang w:val="zh-CN"/>
        </w:rPr>
        <w:t>对每个符合资格要求的供应商的</w:t>
      </w:r>
      <w:r>
        <w:rPr>
          <w:rFonts w:hint="eastAsia" w:ascii="宋体" w:hAnsi="宋体" w:cs="宋体"/>
          <w:color w:val="auto"/>
          <w:sz w:val="24"/>
          <w:szCs w:val="24"/>
          <w:highlight w:val="none"/>
        </w:rPr>
        <w:t>商务</w:t>
      </w:r>
      <w:r>
        <w:rPr>
          <w:rFonts w:hint="eastAsia" w:ascii="宋体" w:hAnsi="宋体" w:cs="宋体"/>
          <w:color w:val="auto"/>
          <w:sz w:val="24"/>
          <w:szCs w:val="24"/>
          <w:highlight w:val="none"/>
          <w:lang w:val="zh-CN"/>
        </w:rPr>
        <w:t>技术</w:t>
      </w:r>
      <w:r>
        <w:rPr>
          <w:rFonts w:hint="eastAsia" w:ascii="宋体" w:hAnsi="宋体" w:cs="宋体"/>
          <w:color w:val="auto"/>
          <w:sz w:val="24"/>
          <w:szCs w:val="24"/>
          <w:highlight w:val="none"/>
        </w:rPr>
        <w:t>文件</w:t>
      </w:r>
      <w:r>
        <w:rPr>
          <w:rFonts w:hint="eastAsia" w:ascii="宋体" w:hAnsi="宋体" w:cs="宋体"/>
          <w:color w:val="auto"/>
          <w:sz w:val="24"/>
          <w:szCs w:val="24"/>
          <w:highlight w:val="none"/>
          <w:lang w:val="zh-CN"/>
        </w:rPr>
        <w:t>进行</w:t>
      </w:r>
      <w:r>
        <w:rPr>
          <w:rFonts w:hint="eastAsia" w:ascii="宋体" w:hAnsi="宋体" w:cs="宋体"/>
          <w:color w:val="auto"/>
          <w:sz w:val="24"/>
          <w:szCs w:val="24"/>
          <w:highlight w:val="none"/>
        </w:rPr>
        <w:t>评审</w:t>
      </w:r>
      <w:r>
        <w:rPr>
          <w:rFonts w:hint="eastAsia" w:ascii="宋体" w:hAnsi="宋体" w:cs="宋体"/>
          <w:color w:val="auto"/>
          <w:sz w:val="24"/>
          <w:szCs w:val="24"/>
          <w:highlight w:val="none"/>
          <w:lang w:val="zh-CN"/>
        </w:rPr>
        <w:t>。主要审查</w:t>
      </w:r>
      <w:r>
        <w:rPr>
          <w:rFonts w:hint="eastAsia" w:ascii="宋体" w:hAnsi="宋体" w:cs="宋体"/>
          <w:color w:val="auto"/>
          <w:sz w:val="24"/>
          <w:szCs w:val="24"/>
          <w:highlight w:val="none"/>
        </w:rPr>
        <w:t>商务</w:t>
      </w:r>
      <w:r>
        <w:rPr>
          <w:rFonts w:hint="eastAsia" w:ascii="宋体" w:hAnsi="宋体" w:cs="宋体"/>
          <w:color w:val="auto"/>
          <w:sz w:val="24"/>
          <w:szCs w:val="24"/>
          <w:highlight w:val="none"/>
          <w:lang w:val="zh-CN"/>
        </w:rPr>
        <w:t>技术</w:t>
      </w:r>
      <w:r>
        <w:rPr>
          <w:rFonts w:hint="eastAsia" w:ascii="宋体" w:hAnsi="宋体" w:cs="宋体"/>
          <w:color w:val="auto"/>
          <w:sz w:val="24"/>
          <w:szCs w:val="24"/>
          <w:highlight w:val="none"/>
        </w:rPr>
        <w:t>文件</w:t>
      </w:r>
      <w:r>
        <w:rPr>
          <w:rFonts w:hint="eastAsia" w:ascii="宋体" w:hAnsi="宋体" w:cs="宋体"/>
          <w:color w:val="auto"/>
          <w:sz w:val="24"/>
          <w:szCs w:val="24"/>
          <w:highlight w:val="none"/>
          <w:lang w:val="zh-CN"/>
        </w:rPr>
        <w:t>提交的内容是否齐全，技术方案及项目实施是否完全满足采购文件的要求。</w:t>
      </w:r>
      <w:r>
        <w:rPr>
          <w:rFonts w:hint="eastAsia" w:ascii="宋体" w:hAnsi="宋体" w:cs="宋体"/>
          <w:color w:val="auto"/>
          <w:sz w:val="24"/>
          <w:highlight w:val="none"/>
        </w:rPr>
        <w:t>磋商小组严格按照磋商文件的要求、条件、评分标准，对供应商所提供货物或服务的先进性、可靠性、售后服务承诺、质量保证承诺等实质性响应内容进行比较。</w:t>
      </w:r>
    </w:p>
    <w:p>
      <w:pPr>
        <w:snapToGrid w:val="0"/>
        <w:spacing w:line="480" w:lineRule="exact"/>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第三阶段：以</w:t>
      </w:r>
      <w:r>
        <w:rPr>
          <w:rFonts w:hint="eastAsia" w:ascii="宋体" w:hAnsi="宋体" w:cs="宋体"/>
          <w:color w:val="auto"/>
          <w:sz w:val="24"/>
          <w:szCs w:val="24"/>
          <w:highlight w:val="none"/>
        </w:rPr>
        <w:t>供应商报价响应</w:t>
      </w:r>
      <w:r>
        <w:rPr>
          <w:rFonts w:hint="eastAsia" w:ascii="宋体" w:hAnsi="宋体" w:cs="宋体"/>
          <w:color w:val="auto"/>
          <w:sz w:val="24"/>
          <w:szCs w:val="24"/>
          <w:highlight w:val="none"/>
          <w:lang w:val="zh-CN"/>
        </w:rPr>
        <w:t>文件内的</w:t>
      </w:r>
      <w:r>
        <w:rPr>
          <w:rFonts w:hint="eastAsia" w:ascii="宋体" w:hAnsi="宋体" w:cs="宋体"/>
          <w:color w:val="auto"/>
          <w:sz w:val="24"/>
          <w:szCs w:val="24"/>
          <w:highlight w:val="none"/>
        </w:rPr>
        <w:t>竞争性磋商</w:t>
      </w:r>
      <w:r>
        <w:rPr>
          <w:rFonts w:hint="eastAsia" w:ascii="宋体" w:hAnsi="宋体" w:cs="宋体"/>
          <w:color w:val="auto"/>
          <w:sz w:val="24"/>
          <w:szCs w:val="24"/>
          <w:highlight w:val="none"/>
          <w:lang w:val="zh-CN"/>
        </w:rPr>
        <w:t>报价（即首次报价）为基础，</w:t>
      </w:r>
      <w:r>
        <w:rPr>
          <w:rFonts w:hint="eastAsia" w:ascii="宋体" w:hAnsi="宋体" w:cs="宋体"/>
          <w:color w:val="auto"/>
          <w:sz w:val="24"/>
          <w:highlight w:val="none"/>
        </w:rPr>
        <w:t>磋商小组</w:t>
      </w:r>
      <w:r>
        <w:rPr>
          <w:rFonts w:hint="eastAsia" w:ascii="宋体" w:hAnsi="宋体" w:cs="宋体"/>
          <w:color w:val="auto"/>
          <w:sz w:val="24"/>
          <w:szCs w:val="24"/>
          <w:highlight w:val="none"/>
        </w:rPr>
        <w:t>与供应商</w:t>
      </w:r>
      <w:r>
        <w:rPr>
          <w:rFonts w:hint="eastAsia" w:ascii="宋体" w:hAnsi="宋体" w:cs="宋体"/>
          <w:color w:val="auto"/>
          <w:sz w:val="24"/>
          <w:szCs w:val="24"/>
          <w:highlight w:val="none"/>
          <w:lang w:val="zh-CN"/>
        </w:rPr>
        <w:t>单一分别进行</w:t>
      </w:r>
      <w:r>
        <w:rPr>
          <w:rFonts w:hint="eastAsia" w:ascii="宋体" w:hAnsi="宋体" w:cs="宋体"/>
          <w:color w:val="auto"/>
          <w:sz w:val="24"/>
          <w:szCs w:val="24"/>
          <w:highlight w:val="none"/>
        </w:rPr>
        <w:t>磋商</w:t>
      </w:r>
      <w:r>
        <w:rPr>
          <w:rFonts w:hint="eastAsia" w:ascii="宋体" w:hAnsi="宋体" w:cs="宋体"/>
          <w:color w:val="auto"/>
          <w:sz w:val="24"/>
          <w:szCs w:val="24"/>
          <w:highlight w:val="none"/>
          <w:lang w:val="zh-CN"/>
        </w:rPr>
        <w:t>：内容主要是对</w:t>
      </w:r>
      <w:r>
        <w:rPr>
          <w:rFonts w:hint="eastAsia" w:ascii="宋体" w:hAnsi="宋体" w:cs="宋体"/>
          <w:color w:val="auto"/>
          <w:sz w:val="24"/>
          <w:szCs w:val="24"/>
          <w:highlight w:val="none"/>
        </w:rPr>
        <w:t>竞争性磋商</w:t>
      </w:r>
      <w:r>
        <w:rPr>
          <w:rFonts w:hint="eastAsia" w:ascii="宋体" w:hAnsi="宋体" w:cs="宋体"/>
          <w:color w:val="auto"/>
          <w:sz w:val="24"/>
          <w:szCs w:val="24"/>
          <w:highlight w:val="none"/>
          <w:lang w:val="zh-CN"/>
        </w:rPr>
        <w:t>响应文件中的项目方案的澄清、修正、补充、确认以及价格调整等。如</w:t>
      </w:r>
      <w:r>
        <w:rPr>
          <w:rFonts w:hint="eastAsia" w:ascii="宋体" w:hAnsi="宋体" w:cs="宋体"/>
          <w:color w:val="auto"/>
          <w:sz w:val="24"/>
          <w:szCs w:val="24"/>
          <w:highlight w:val="none"/>
        </w:rPr>
        <w:t>磋商</w:t>
      </w:r>
      <w:r>
        <w:rPr>
          <w:rFonts w:hint="eastAsia" w:ascii="宋体" w:hAnsi="宋体" w:cs="宋体"/>
          <w:color w:val="auto"/>
          <w:sz w:val="24"/>
          <w:szCs w:val="24"/>
          <w:highlight w:val="none"/>
          <w:lang w:val="zh-CN"/>
        </w:rPr>
        <w:t>内容导致</w:t>
      </w:r>
      <w:r>
        <w:rPr>
          <w:rFonts w:hint="eastAsia" w:ascii="宋体" w:hAnsi="宋体" w:cs="宋体"/>
          <w:color w:val="auto"/>
          <w:sz w:val="24"/>
          <w:szCs w:val="24"/>
          <w:highlight w:val="none"/>
        </w:rPr>
        <w:t>竞争性磋商</w:t>
      </w:r>
      <w:r>
        <w:rPr>
          <w:rFonts w:hint="eastAsia" w:ascii="宋体" w:hAnsi="宋体" w:cs="宋体"/>
          <w:color w:val="auto"/>
          <w:sz w:val="24"/>
          <w:szCs w:val="24"/>
          <w:highlight w:val="none"/>
          <w:lang w:val="zh-CN"/>
        </w:rPr>
        <w:t>文件有实质性变动的，</w:t>
      </w:r>
      <w:r>
        <w:rPr>
          <w:rFonts w:hint="eastAsia" w:ascii="宋体" w:hAnsi="宋体" w:cs="宋体"/>
          <w:color w:val="auto"/>
          <w:sz w:val="24"/>
          <w:highlight w:val="none"/>
        </w:rPr>
        <w:t>磋商小组</w:t>
      </w:r>
      <w:r>
        <w:rPr>
          <w:rFonts w:hint="eastAsia" w:ascii="宋体" w:hAnsi="宋体" w:cs="宋体"/>
          <w:color w:val="auto"/>
          <w:sz w:val="24"/>
          <w:szCs w:val="24"/>
          <w:highlight w:val="none"/>
          <w:lang w:val="zh-CN"/>
        </w:rPr>
        <w:t xml:space="preserve">应当以书面形式通知所有供应商。  </w:t>
      </w:r>
    </w:p>
    <w:p>
      <w:pPr>
        <w:snapToGrid w:val="0"/>
        <w:spacing w:line="480" w:lineRule="exact"/>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第四阶段：单一分别</w:t>
      </w:r>
      <w:r>
        <w:rPr>
          <w:rFonts w:hint="eastAsia" w:ascii="宋体" w:hAnsi="宋体" w:cs="宋体"/>
          <w:color w:val="auto"/>
          <w:sz w:val="24"/>
          <w:szCs w:val="24"/>
          <w:highlight w:val="none"/>
        </w:rPr>
        <w:t>磋商</w:t>
      </w:r>
      <w:r>
        <w:rPr>
          <w:rFonts w:hint="eastAsia" w:ascii="宋体" w:hAnsi="宋体" w:cs="宋体"/>
          <w:color w:val="auto"/>
          <w:sz w:val="24"/>
          <w:szCs w:val="24"/>
          <w:highlight w:val="none"/>
          <w:lang w:val="zh-CN"/>
        </w:rPr>
        <w:t>结束后，要求所有作出实质性响应的有效供应商在规定的时间内，在</w:t>
      </w:r>
      <w:r>
        <w:rPr>
          <w:rFonts w:hint="eastAsia" w:ascii="宋体" w:hAnsi="宋体" w:cs="宋体"/>
          <w:color w:val="auto"/>
          <w:sz w:val="24"/>
          <w:szCs w:val="24"/>
          <w:highlight w:val="none"/>
        </w:rPr>
        <w:t>磋商</w:t>
      </w:r>
      <w:r>
        <w:rPr>
          <w:rFonts w:hint="eastAsia" w:ascii="宋体" w:hAnsi="宋体" w:cs="宋体"/>
          <w:color w:val="auto"/>
          <w:sz w:val="24"/>
          <w:szCs w:val="24"/>
          <w:highlight w:val="none"/>
          <w:lang w:val="zh-CN"/>
        </w:rPr>
        <w:t>现场集体给出最终报价，同时最终报价中可包括但不限于如最终澄清方案、有关优惠承诺等。</w:t>
      </w:r>
    </w:p>
    <w:p>
      <w:pPr>
        <w:snapToGrid w:val="0"/>
        <w:spacing w:line="480" w:lineRule="exact"/>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第五阶段：</w:t>
      </w:r>
      <w:r>
        <w:rPr>
          <w:rFonts w:hint="eastAsia" w:ascii="宋体" w:hAnsi="宋体" w:cs="宋体"/>
          <w:color w:val="auto"/>
          <w:sz w:val="24"/>
          <w:highlight w:val="none"/>
        </w:rPr>
        <w:t>磋商小组</w:t>
      </w:r>
      <w:r>
        <w:rPr>
          <w:rFonts w:hint="eastAsia" w:ascii="宋体" w:hAnsi="宋体" w:cs="宋体"/>
          <w:color w:val="auto"/>
          <w:sz w:val="24"/>
          <w:szCs w:val="24"/>
          <w:highlight w:val="none"/>
          <w:lang w:val="zh-CN"/>
        </w:rPr>
        <w:t>对供应商的最终报价进行评议和比较，在实质性响应</w:t>
      </w:r>
      <w:r>
        <w:rPr>
          <w:rFonts w:hint="eastAsia" w:ascii="宋体" w:hAnsi="宋体" w:cs="宋体"/>
          <w:color w:val="auto"/>
          <w:sz w:val="24"/>
          <w:szCs w:val="24"/>
          <w:highlight w:val="none"/>
        </w:rPr>
        <w:t>竞争性磋商</w:t>
      </w:r>
      <w:r>
        <w:rPr>
          <w:rFonts w:hint="eastAsia" w:ascii="宋体" w:hAnsi="宋体" w:cs="宋体"/>
          <w:color w:val="auto"/>
          <w:sz w:val="24"/>
          <w:szCs w:val="24"/>
          <w:highlight w:val="none"/>
          <w:lang w:val="zh-CN"/>
        </w:rPr>
        <w:t>文件，</w:t>
      </w:r>
      <w:r>
        <w:rPr>
          <w:rFonts w:hint="eastAsia" w:ascii="宋体" w:hAnsi="宋体" w:cs="宋体"/>
          <w:color w:val="auto"/>
          <w:sz w:val="24"/>
          <w:szCs w:val="24"/>
          <w:highlight w:val="none"/>
        </w:rPr>
        <w:t>商务</w:t>
      </w:r>
      <w:r>
        <w:rPr>
          <w:rFonts w:hint="eastAsia" w:ascii="宋体" w:hAnsi="宋体" w:cs="宋体"/>
          <w:color w:val="auto"/>
          <w:sz w:val="24"/>
          <w:szCs w:val="24"/>
          <w:highlight w:val="none"/>
          <w:lang w:val="zh-CN"/>
        </w:rPr>
        <w:t>技术</w:t>
      </w:r>
      <w:r>
        <w:rPr>
          <w:rFonts w:hint="eastAsia" w:ascii="宋体" w:hAnsi="宋体" w:cs="宋体"/>
          <w:color w:val="auto"/>
          <w:sz w:val="24"/>
          <w:szCs w:val="24"/>
          <w:highlight w:val="none"/>
        </w:rPr>
        <w:t>文件</w:t>
      </w:r>
      <w:r>
        <w:rPr>
          <w:rFonts w:hint="eastAsia" w:ascii="宋体" w:hAnsi="宋体" w:cs="宋体"/>
          <w:color w:val="auto"/>
          <w:sz w:val="24"/>
          <w:szCs w:val="24"/>
          <w:highlight w:val="none"/>
          <w:lang w:val="zh-CN"/>
        </w:rPr>
        <w:t>和</w:t>
      </w:r>
      <w:r>
        <w:rPr>
          <w:rFonts w:hint="eastAsia" w:ascii="宋体" w:hAnsi="宋体" w:cs="宋体"/>
          <w:color w:val="auto"/>
          <w:sz w:val="24"/>
          <w:szCs w:val="24"/>
          <w:highlight w:val="none"/>
        </w:rPr>
        <w:t>报价文件</w:t>
      </w:r>
      <w:r>
        <w:rPr>
          <w:rFonts w:hint="eastAsia" w:ascii="宋体" w:hAnsi="宋体" w:cs="宋体"/>
          <w:color w:val="auto"/>
          <w:sz w:val="24"/>
          <w:szCs w:val="24"/>
          <w:highlight w:val="none"/>
          <w:lang w:val="zh-CN"/>
        </w:rPr>
        <w:t>部分都能满足</w:t>
      </w:r>
      <w:r>
        <w:rPr>
          <w:rFonts w:hint="eastAsia" w:ascii="宋体" w:hAnsi="宋体" w:cs="宋体"/>
          <w:color w:val="auto"/>
          <w:sz w:val="24"/>
          <w:szCs w:val="24"/>
          <w:highlight w:val="none"/>
        </w:rPr>
        <w:t>竞争性磋商</w:t>
      </w:r>
      <w:r>
        <w:rPr>
          <w:rFonts w:hint="eastAsia" w:ascii="宋体" w:hAnsi="宋体" w:cs="宋体"/>
          <w:color w:val="auto"/>
          <w:sz w:val="24"/>
          <w:szCs w:val="24"/>
          <w:highlight w:val="none"/>
          <w:lang w:val="zh-CN"/>
        </w:rPr>
        <w:t>文件的前提下，</w:t>
      </w:r>
      <w:r>
        <w:rPr>
          <w:rFonts w:hint="eastAsia" w:ascii="宋体" w:hAnsi="宋体" w:cs="宋体"/>
          <w:color w:val="auto"/>
          <w:sz w:val="24"/>
          <w:highlight w:val="none"/>
        </w:rPr>
        <w:t>磋商小组</w:t>
      </w:r>
      <w:r>
        <w:rPr>
          <w:rFonts w:hint="eastAsia" w:ascii="宋体" w:hAnsi="宋体" w:cs="宋体"/>
          <w:color w:val="auto"/>
          <w:sz w:val="24"/>
          <w:szCs w:val="24"/>
          <w:highlight w:val="none"/>
          <w:lang w:val="zh-CN"/>
        </w:rPr>
        <w:t>将校核后的各供应商的报价从低到高排序。</w:t>
      </w:r>
    </w:p>
    <w:p>
      <w:pPr>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zh-CN"/>
        </w:rPr>
        <w:t>2.在</w:t>
      </w:r>
      <w:r>
        <w:rPr>
          <w:rFonts w:hint="eastAsia" w:ascii="宋体" w:hAnsi="宋体" w:cs="宋体"/>
          <w:color w:val="auto"/>
          <w:sz w:val="24"/>
          <w:szCs w:val="24"/>
          <w:highlight w:val="none"/>
        </w:rPr>
        <w:t>磋商</w:t>
      </w:r>
      <w:r>
        <w:rPr>
          <w:rFonts w:hint="eastAsia" w:ascii="宋体" w:hAnsi="宋体" w:cs="宋体"/>
          <w:color w:val="auto"/>
          <w:sz w:val="24"/>
          <w:szCs w:val="24"/>
          <w:highlight w:val="none"/>
          <w:lang w:val="zh-CN"/>
        </w:rPr>
        <w:t>过程中，供应商提交的澄清文件和最终报价文件，由供应商法定代表人或被授权人签字盖章后生效，供应商受其约束。</w:t>
      </w:r>
    </w:p>
    <w:p>
      <w:pPr>
        <w:snapToGrid w:val="0"/>
        <w:spacing w:line="480" w:lineRule="exact"/>
        <w:ind w:firstLine="482" w:firstLineChars="200"/>
        <w:outlineLvl w:val="1"/>
        <w:rPr>
          <w:rFonts w:hint="eastAsia" w:hAnsi="宋体" w:cs="宋体"/>
          <w:b/>
          <w:color w:val="auto"/>
          <w:sz w:val="24"/>
          <w:szCs w:val="24"/>
          <w:highlight w:val="none"/>
        </w:rPr>
      </w:pPr>
      <w:r>
        <w:rPr>
          <w:rFonts w:hint="eastAsia" w:hAnsi="宋体" w:cs="宋体"/>
          <w:b/>
          <w:color w:val="auto"/>
          <w:sz w:val="24"/>
          <w:szCs w:val="24"/>
          <w:highlight w:val="none"/>
        </w:rPr>
        <w:t>四、磋商评定结果的方法</w:t>
      </w:r>
    </w:p>
    <w:p>
      <w:pPr>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w:t>
      </w:r>
      <w:r>
        <w:rPr>
          <w:rFonts w:hint="eastAsia" w:hAnsi="宋体" w:cs="宋体"/>
          <w:b/>
          <w:color w:val="auto"/>
          <w:sz w:val="24"/>
          <w:szCs w:val="24"/>
          <w:highlight w:val="none"/>
          <w:u w:val="single"/>
        </w:rPr>
        <w:t>经磋商确定最终采购需求和提交最后报价的供应商后，</w:t>
      </w:r>
      <w:r>
        <w:rPr>
          <w:rFonts w:hint="eastAsia" w:hAnsi="宋体" w:cs="宋体"/>
          <w:color w:val="auto"/>
          <w:sz w:val="24"/>
          <w:szCs w:val="24"/>
          <w:highlight w:val="none"/>
        </w:rPr>
        <w:t>由磋商小组采用综合评分法</w:t>
      </w:r>
      <w:r>
        <w:rPr>
          <w:rFonts w:hint="eastAsia" w:hAnsi="宋体" w:cs="宋体"/>
          <w:b/>
          <w:color w:val="auto"/>
          <w:sz w:val="24"/>
          <w:szCs w:val="24"/>
          <w:highlight w:val="none"/>
          <w:u w:val="single"/>
        </w:rPr>
        <w:t>对提交最后报价的供应商的响应文件和最后报价</w:t>
      </w:r>
      <w:r>
        <w:rPr>
          <w:rFonts w:hint="eastAsia" w:hAnsi="宋体" w:cs="宋体"/>
          <w:color w:val="auto"/>
          <w:sz w:val="24"/>
          <w:szCs w:val="24"/>
          <w:highlight w:val="none"/>
        </w:rPr>
        <w:t>进行综合评分。</w:t>
      </w:r>
    </w:p>
    <w:p>
      <w:pPr>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2.评审时，磋商小组各成员应当独立对每个有效响应的文件进行评价、打分，然后汇总每个供应商每项评分因素的得分（计算结果均四舍五入保留两位小数）。</w:t>
      </w:r>
    </w:p>
    <w:p>
      <w:pPr>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 xml:space="preserve">3.本次项目磋商的商务技术和报价评审总分值为100分。两部分评审因素比重如下： </w:t>
      </w:r>
    </w:p>
    <w:p>
      <w:pPr>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商务技术分值占总分值的比重为</w:t>
      </w:r>
      <w:r>
        <w:rPr>
          <w:rFonts w:hint="eastAsia" w:hAnsi="宋体" w:cs="宋体"/>
          <w:b/>
          <w:color w:val="auto"/>
          <w:sz w:val="24"/>
          <w:szCs w:val="24"/>
          <w:highlight w:val="none"/>
          <w:u w:val="single"/>
        </w:rPr>
        <w:t>80%（权重）</w:t>
      </w:r>
      <w:r>
        <w:rPr>
          <w:rFonts w:hint="eastAsia" w:hAnsi="宋体" w:cs="宋体"/>
          <w:color w:val="auto"/>
          <w:sz w:val="24"/>
          <w:szCs w:val="24"/>
          <w:highlight w:val="none"/>
        </w:rPr>
        <w:t>（四舍五入保留两位小数）；</w:t>
      </w:r>
    </w:p>
    <w:p>
      <w:pPr>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报价分值占总分值的比重为</w:t>
      </w:r>
      <w:r>
        <w:rPr>
          <w:rFonts w:hint="eastAsia" w:hAnsi="宋体" w:cs="宋体"/>
          <w:b/>
          <w:color w:val="auto"/>
          <w:sz w:val="24"/>
          <w:szCs w:val="24"/>
          <w:highlight w:val="none"/>
          <w:u w:val="single"/>
        </w:rPr>
        <w:t>20%（权重）</w:t>
      </w:r>
      <w:r>
        <w:rPr>
          <w:rFonts w:hint="eastAsia" w:hAnsi="宋体" w:cs="宋体"/>
          <w:color w:val="auto"/>
          <w:sz w:val="24"/>
          <w:szCs w:val="24"/>
          <w:highlight w:val="none"/>
        </w:rPr>
        <w:t>（四舍五入保留两位小数）。</w:t>
      </w:r>
    </w:p>
    <w:p>
      <w:pPr>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4.商务技术分按算术平均值计算，分值四舍五入保留两位小数。</w:t>
      </w:r>
    </w:p>
    <w:p>
      <w:pPr>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5.报价分统一采用低价优先法计算直接取得，与商务技术分相加为供应商的综合得分（四舍五入保留两位小数）。</w:t>
      </w:r>
    </w:p>
    <w:p>
      <w:pPr>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6.综合得分最高的供应商推荐为项目预成交人并出具评审报告。</w:t>
      </w:r>
    </w:p>
    <w:p>
      <w:pPr>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 xml:space="preserve">7.确定成交候选人的特殊情况处理： </w:t>
      </w:r>
    </w:p>
    <w:p>
      <w:pPr>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（1）若总分相同，则按最终报价响应得分高者优先成交。</w:t>
      </w:r>
    </w:p>
    <w:p>
      <w:pPr>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（2）若总分且最终报价响应得分相同，则采取现场抽签的方式确定（供应商的抽签顺序分别为各供应商递交响应文件签到顺序号）。</w:t>
      </w:r>
    </w:p>
    <w:p>
      <w:pPr>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8.磋商评审时，评委对评审的细则若有争议，由磋商小组集体讨论确定，并对未尽情况有最终解释权。</w:t>
      </w:r>
    </w:p>
    <w:p>
      <w:pPr>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9.对落标的供应商不做落标原因的解释。</w:t>
      </w:r>
    </w:p>
    <w:p>
      <w:pPr>
        <w:snapToGrid w:val="0"/>
        <w:spacing w:line="480" w:lineRule="exact"/>
        <w:outlineLvl w:val="1"/>
        <w:rPr>
          <w:rFonts w:hint="eastAsia" w:hAnsi="宋体" w:cs="宋体"/>
          <w:b/>
          <w:color w:val="auto"/>
          <w:sz w:val="24"/>
          <w:szCs w:val="24"/>
          <w:highlight w:val="none"/>
        </w:rPr>
      </w:pPr>
      <w:r>
        <w:rPr>
          <w:rFonts w:hint="eastAsia" w:hAnsi="宋体" w:cs="宋体"/>
          <w:b/>
          <w:color w:val="auto"/>
          <w:sz w:val="24"/>
          <w:szCs w:val="24"/>
          <w:highlight w:val="none"/>
        </w:rPr>
        <w:t>五、综合评分评审标准</w:t>
      </w:r>
    </w:p>
    <w:p>
      <w:pPr>
        <w:snapToGrid w:val="0"/>
        <w:spacing w:line="360" w:lineRule="auto"/>
        <w:ind w:firstLine="482" w:firstLineChars="200"/>
        <w:rPr>
          <w:rFonts w:hint="eastAsia" w:hAnsi="宋体" w:cs="宋体"/>
          <w:color w:val="auto"/>
          <w:sz w:val="24"/>
          <w:szCs w:val="24"/>
          <w:highlight w:val="none"/>
        </w:rPr>
      </w:pPr>
      <w:r>
        <w:rPr>
          <w:rFonts w:hint="eastAsia" w:hAnsi="宋体" w:cs="宋体"/>
          <w:b/>
          <w:color w:val="auto"/>
          <w:sz w:val="24"/>
          <w:szCs w:val="24"/>
          <w:highlight w:val="none"/>
        </w:rPr>
        <w:t>（一）商务技术分</w:t>
      </w:r>
      <w:r>
        <w:rPr>
          <w:rFonts w:hint="eastAsia" w:hAnsi="宋体" w:cs="宋体"/>
          <w:color w:val="auto"/>
          <w:sz w:val="24"/>
          <w:szCs w:val="24"/>
          <w:highlight w:val="none"/>
        </w:rPr>
        <w:t>（80分）</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560"/>
        <w:gridCol w:w="850"/>
        <w:gridCol w:w="6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vAlign w:val="center"/>
          </w:tcPr>
          <w:p>
            <w:pPr>
              <w:snapToGrid w:val="0"/>
              <w:jc w:val="center"/>
              <w:outlineLvl w:val="2"/>
              <w:rPr>
                <w:rFonts w:hint="eastAsia" w:hAnsi="宋体" w:cs="宋体"/>
                <w:color w:val="auto"/>
                <w:szCs w:val="21"/>
                <w:highlight w:val="none"/>
              </w:rPr>
            </w:pPr>
            <w:r>
              <w:rPr>
                <w:rFonts w:hint="eastAsia" w:hAnsi="宋体" w:cs="宋体"/>
                <w:color w:val="auto"/>
                <w:szCs w:val="21"/>
                <w:highlight w:val="none"/>
              </w:rPr>
              <w:t>序号</w:t>
            </w:r>
          </w:p>
        </w:tc>
        <w:tc>
          <w:tcPr>
            <w:tcW w:w="1560" w:type="dxa"/>
            <w:vAlign w:val="center"/>
          </w:tcPr>
          <w:p>
            <w:pPr>
              <w:snapToGrid w:val="0"/>
              <w:jc w:val="center"/>
              <w:outlineLvl w:val="2"/>
              <w:rPr>
                <w:rFonts w:hint="eastAsia" w:hAnsi="宋体" w:cs="宋体"/>
                <w:color w:val="auto"/>
                <w:szCs w:val="21"/>
                <w:highlight w:val="none"/>
              </w:rPr>
            </w:pPr>
            <w:r>
              <w:rPr>
                <w:rFonts w:hint="eastAsia" w:hAnsi="宋体" w:cs="宋体"/>
                <w:color w:val="auto"/>
                <w:szCs w:val="21"/>
                <w:highlight w:val="none"/>
              </w:rPr>
              <w:t>评审因素</w:t>
            </w:r>
          </w:p>
        </w:tc>
        <w:tc>
          <w:tcPr>
            <w:tcW w:w="850" w:type="dxa"/>
            <w:vAlign w:val="center"/>
          </w:tcPr>
          <w:p>
            <w:pPr>
              <w:snapToGrid w:val="0"/>
              <w:jc w:val="center"/>
              <w:outlineLvl w:val="2"/>
              <w:rPr>
                <w:rFonts w:hint="eastAsia" w:hAnsi="宋体" w:cs="宋体"/>
                <w:color w:val="auto"/>
                <w:szCs w:val="21"/>
                <w:highlight w:val="none"/>
              </w:rPr>
            </w:pPr>
            <w:r>
              <w:rPr>
                <w:rFonts w:hint="eastAsia" w:hAnsi="宋体" w:cs="宋体"/>
                <w:color w:val="auto"/>
                <w:szCs w:val="21"/>
                <w:highlight w:val="none"/>
              </w:rPr>
              <w:t>分值</w:t>
            </w:r>
          </w:p>
        </w:tc>
        <w:tc>
          <w:tcPr>
            <w:tcW w:w="6315" w:type="dxa"/>
            <w:vAlign w:val="center"/>
          </w:tcPr>
          <w:p>
            <w:pPr>
              <w:snapToGrid w:val="0"/>
              <w:jc w:val="center"/>
              <w:outlineLvl w:val="2"/>
              <w:rPr>
                <w:rFonts w:hint="eastAsia" w:hAnsi="宋体" w:cs="宋体"/>
                <w:color w:val="auto"/>
                <w:szCs w:val="21"/>
                <w:highlight w:val="none"/>
              </w:rPr>
            </w:pPr>
            <w:r>
              <w:rPr>
                <w:rFonts w:hint="eastAsia" w:hAnsi="宋体" w:cs="宋体"/>
                <w:color w:val="auto"/>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napToGrid w:val="0"/>
              <w:jc w:val="left"/>
              <w:outlineLvl w:val="2"/>
              <w:rPr>
                <w:rFonts w:hint="eastAsia" w:hAnsi="宋体" w:cs="宋体"/>
                <w:color w:val="auto"/>
                <w:szCs w:val="21"/>
                <w:highlight w:val="none"/>
              </w:rPr>
            </w:pPr>
            <w:r>
              <w:rPr>
                <w:rFonts w:hint="eastAsia" w:hAnsi="宋体" w:cs="宋体"/>
                <w:color w:val="auto"/>
                <w:szCs w:val="21"/>
                <w:highlight w:val="none"/>
              </w:rPr>
              <w:t>1</w:t>
            </w:r>
          </w:p>
        </w:tc>
        <w:tc>
          <w:tcPr>
            <w:tcW w:w="1560" w:type="dxa"/>
            <w:vAlign w:val="center"/>
          </w:tcPr>
          <w:p>
            <w:pPr>
              <w:snapToGrid w:val="0"/>
              <w:jc w:val="left"/>
              <w:outlineLvl w:val="2"/>
              <w:rPr>
                <w:rFonts w:hint="eastAsia" w:hAnsi="宋体" w:cs="宋体"/>
                <w:color w:val="auto"/>
                <w:szCs w:val="21"/>
                <w:highlight w:val="none"/>
              </w:rPr>
            </w:pPr>
            <w:r>
              <w:rPr>
                <w:rFonts w:hint="eastAsia" w:hAnsi="宋体" w:cs="宋体"/>
                <w:color w:val="auto"/>
                <w:szCs w:val="21"/>
                <w:highlight w:val="none"/>
              </w:rPr>
              <w:t>类似业绩</w:t>
            </w:r>
          </w:p>
        </w:tc>
        <w:tc>
          <w:tcPr>
            <w:tcW w:w="850" w:type="dxa"/>
            <w:vAlign w:val="center"/>
          </w:tcPr>
          <w:p>
            <w:pPr>
              <w:snapToGrid w:val="0"/>
              <w:jc w:val="left"/>
              <w:outlineLvl w:val="2"/>
              <w:rPr>
                <w:rFonts w:hint="eastAsia" w:hAnsi="宋体" w:cs="宋体"/>
                <w:color w:val="auto"/>
                <w:szCs w:val="21"/>
                <w:highlight w:val="none"/>
              </w:rPr>
            </w:pPr>
            <w:r>
              <w:rPr>
                <w:rFonts w:hint="eastAsia" w:hAnsi="宋体" w:cs="宋体"/>
                <w:color w:val="auto"/>
                <w:szCs w:val="21"/>
                <w:highlight w:val="none"/>
              </w:rPr>
              <w:t>15</w:t>
            </w:r>
          </w:p>
        </w:tc>
        <w:tc>
          <w:tcPr>
            <w:tcW w:w="6315" w:type="dxa"/>
            <w:vAlign w:val="center"/>
          </w:tcPr>
          <w:p>
            <w:pPr>
              <w:snapToGrid w:val="0"/>
              <w:jc w:val="left"/>
              <w:outlineLvl w:val="2"/>
              <w:rPr>
                <w:rFonts w:hint="eastAsia" w:hAnsi="宋体" w:cs="宋体"/>
                <w:color w:val="auto"/>
                <w:szCs w:val="21"/>
                <w:highlight w:val="none"/>
              </w:rPr>
            </w:pPr>
            <w:r>
              <w:rPr>
                <w:rFonts w:hint="eastAsia" w:hAnsi="宋体" w:cs="宋体"/>
                <w:color w:val="auto"/>
                <w:szCs w:val="21"/>
                <w:highlight w:val="none"/>
                <w:lang w:eastAsia="zh-CN"/>
              </w:rPr>
              <w:t>供应商</w:t>
            </w:r>
            <w:r>
              <w:rPr>
                <w:rFonts w:hAnsi="宋体" w:cs="宋体"/>
                <w:color w:val="auto"/>
                <w:szCs w:val="21"/>
                <w:highlight w:val="none"/>
              </w:rPr>
              <w:t>自2021年1月1日以来（以合同签订时间为准）</w:t>
            </w:r>
            <w:r>
              <w:rPr>
                <w:rFonts w:hint="eastAsia" w:hAnsi="宋体" w:cs="宋体"/>
                <w:color w:val="auto"/>
                <w:szCs w:val="21"/>
                <w:highlight w:val="none"/>
              </w:rPr>
              <w:t>，承担过至少100平方特展展位布置</w:t>
            </w:r>
            <w:r>
              <w:rPr>
                <w:rFonts w:hint="eastAsia" w:hAnsi="宋体" w:cs="宋体"/>
                <w:color w:val="auto"/>
                <w:szCs w:val="21"/>
                <w:highlight w:val="none"/>
                <w:lang w:val="en-US" w:eastAsia="zh-CN"/>
              </w:rPr>
              <w:t>业绩：国家级展会</w:t>
            </w:r>
            <w:r>
              <w:rPr>
                <w:rFonts w:hint="eastAsia" w:hAnsi="宋体" w:cs="宋体"/>
                <w:color w:val="auto"/>
                <w:szCs w:val="21"/>
                <w:highlight w:val="none"/>
              </w:rPr>
              <w:t>每个业绩得3分，省级展会每个业绩得</w:t>
            </w:r>
            <w:r>
              <w:rPr>
                <w:rFonts w:hint="eastAsia" w:hAnsi="宋体" w:cs="宋体"/>
                <w:color w:val="auto"/>
                <w:szCs w:val="21"/>
                <w:highlight w:val="none"/>
                <w:lang w:val="en-US" w:eastAsia="zh-CN"/>
              </w:rPr>
              <w:t>2</w:t>
            </w:r>
            <w:r>
              <w:rPr>
                <w:rFonts w:hint="eastAsia" w:hAnsi="宋体" w:cs="宋体"/>
                <w:color w:val="auto"/>
                <w:szCs w:val="21"/>
                <w:highlight w:val="none"/>
              </w:rPr>
              <w:t>分，</w:t>
            </w:r>
            <w:r>
              <w:rPr>
                <w:rFonts w:hint="eastAsia" w:hAnsi="宋体" w:cs="宋体"/>
                <w:color w:val="auto"/>
                <w:szCs w:val="21"/>
                <w:highlight w:val="none"/>
                <w:lang w:val="en-US" w:eastAsia="zh-CN"/>
              </w:rPr>
              <w:t>市级展会每个业绩得1分，</w:t>
            </w:r>
            <w:r>
              <w:rPr>
                <w:rFonts w:hAnsi="宋体" w:cs="宋体"/>
                <w:color w:val="auto"/>
                <w:szCs w:val="21"/>
                <w:highlight w:val="none"/>
              </w:rPr>
              <w:t>本项最高得</w:t>
            </w:r>
            <w:r>
              <w:rPr>
                <w:rFonts w:hint="eastAsia" w:hAnsi="宋体" w:cs="宋体"/>
                <w:color w:val="auto"/>
                <w:szCs w:val="21"/>
                <w:highlight w:val="none"/>
              </w:rPr>
              <w:t>15</w:t>
            </w:r>
            <w:r>
              <w:rPr>
                <w:rFonts w:hAnsi="宋体" w:cs="宋体"/>
                <w:color w:val="auto"/>
                <w:szCs w:val="21"/>
                <w:highlight w:val="none"/>
              </w:rPr>
              <w:t>分。提供合同复印件及与合同对应的部分发票复印件（若承办合同不能体现面积，则须提供展馆租赁合同佐证及与展馆租赁合同对应的展馆租费发票复印件佐证，展馆租赁合同主体必须包含</w:t>
            </w:r>
            <w:r>
              <w:rPr>
                <w:rFonts w:hint="eastAsia" w:hAnsi="宋体" w:cs="宋体"/>
                <w:color w:val="auto"/>
                <w:szCs w:val="21"/>
                <w:highlight w:val="none"/>
                <w:lang w:eastAsia="zh-CN"/>
              </w:rPr>
              <w:t>供应商</w:t>
            </w:r>
            <w:r>
              <w:rPr>
                <w:rFonts w:hAnsi="宋体" w:cs="宋体"/>
                <w:color w:val="auto"/>
                <w:szCs w:val="21"/>
                <w:highlight w:val="none"/>
              </w:rPr>
              <w:t>公司名称）。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napToGrid w:val="0"/>
              <w:jc w:val="left"/>
              <w:outlineLvl w:val="2"/>
              <w:rPr>
                <w:rFonts w:hint="eastAsia" w:hAnsi="宋体" w:cs="宋体"/>
                <w:color w:val="auto"/>
                <w:szCs w:val="21"/>
                <w:highlight w:val="none"/>
              </w:rPr>
            </w:pPr>
            <w:r>
              <w:rPr>
                <w:rFonts w:hint="eastAsia" w:hAnsi="宋体" w:cs="宋体"/>
                <w:color w:val="auto"/>
                <w:szCs w:val="21"/>
                <w:highlight w:val="none"/>
              </w:rPr>
              <w:t>2</w:t>
            </w:r>
          </w:p>
        </w:tc>
        <w:tc>
          <w:tcPr>
            <w:tcW w:w="1560" w:type="dxa"/>
            <w:vAlign w:val="center"/>
          </w:tcPr>
          <w:p>
            <w:pPr>
              <w:snapToGrid w:val="0"/>
              <w:jc w:val="left"/>
              <w:outlineLvl w:val="2"/>
              <w:rPr>
                <w:rFonts w:hint="eastAsia" w:hAnsi="宋体" w:cs="宋体"/>
                <w:color w:val="auto"/>
                <w:szCs w:val="21"/>
                <w:highlight w:val="none"/>
              </w:rPr>
            </w:pPr>
            <w:r>
              <w:rPr>
                <w:rFonts w:hint="eastAsia" w:hAnsi="宋体" w:cs="宋体"/>
                <w:color w:val="auto"/>
                <w:szCs w:val="21"/>
                <w:highlight w:val="none"/>
              </w:rPr>
              <w:t>展区规划与设计方案</w:t>
            </w:r>
          </w:p>
        </w:tc>
        <w:tc>
          <w:tcPr>
            <w:tcW w:w="850" w:type="dxa"/>
            <w:vAlign w:val="center"/>
          </w:tcPr>
          <w:p>
            <w:pPr>
              <w:snapToGrid w:val="0"/>
              <w:jc w:val="left"/>
              <w:outlineLvl w:val="2"/>
              <w:rPr>
                <w:rFonts w:hint="eastAsia" w:hAnsi="宋体" w:cs="宋体"/>
                <w:color w:val="auto"/>
                <w:szCs w:val="21"/>
                <w:highlight w:val="none"/>
              </w:rPr>
            </w:pPr>
            <w:r>
              <w:rPr>
                <w:rFonts w:hint="eastAsia" w:hAnsi="宋体" w:cs="宋体"/>
                <w:color w:val="auto"/>
                <w:szCs w:val="21"/>
                <w:highlight w:val="none"/>
              </w:rPr>
              <w:t>15</w:t>
            </w:r>
          </w:p>
        </w:tc>
        <w:tc>
          <w:tcPr>
            <w:tcW w:w="6315" w:type="dxa"/>
            <w:vAlign w:val="center"/>
          </w:tcPr>
          <w:p>
            <w:pPr>
              <w:snapToGrid w:val="0"/>
              <w:jc w:val="left"/>
              <w:outlineLvl w:val="2"/>
              <w:rPr>
                <w:rFonts w:hint="default" w:hAnsi="宋体" w:cs="宋体"/>
                <w:color w:val="auto"/>
                <w:szCs w:val="21"/>
                <w:highlight w:val="none"/>
              </w:rPr>
            </w:pPr>
            <w:r>
              <w:rPr>
                <w:rFonts w:hint="default" w:hAnsi="宋体" w:cs="宋体"/>
                <w:color w:val="auto"/>
                <w:szCs w:val="21"/>
                <w:highlight w:val="none"/>
              </w:rPr>
              <w:t>根据</w:t>
            </w:r>
            <w:r>
              <w:rPr>
                <w:rFonts w:hint="default" w:hAnsi="宋体" w:cs="宋体"/>
                <w:color w:val="auto"/>
                <w:szCs w:val="21"/>
                <w:highlight w:val="none"/>
                <w:lang w:eastAsia="zh-CN"/>
              </w:rPr>
              <w:t>供应商</w:t>
            </w:r>
            <w:r>
              <w:rPr>
                <w:rFonts w:hint="default" w:hAnsi="宋体" w:cs="宋体"/>
                <w:color w:val="auto"/>
                <w:szCs w:val="21"/>
                <w:highlight w:val="none"/>
              </w:rPr>
              <w:t>针对本项目150平米特装展位提供的总体规划、平面布局设计（含功能区划分、动线设计）、设计说明、效果图等进行综合打分：</w:t>
            </w:r>
            <w:r>
              <w:rPr>
                <w:rFonts w:hint="default" w:hAnsi="宋体" w:cs="宋体"/>
                <w:color w:val="auto"/>
                <w:szCs w:val="21"/>
                <w:highlight w:val="none"/>
              </w:rPr>
              <w:br w:type="textWrapping"/>
            </w:r>
            <w:r>
              <w:rPr>
                <w:rFonts w:hint="default" w:hAnsi="宋体" w:cs="宋体"/>
                <w:color w:val="auto"/>
                <w:szCs w:val="21"/>
                <w:highlight w:val="none"/>
              </w:rPr>
              <w:t>（1）方案体现南通海洋经济特色，规划合理、设计新颖、可操作性强为优，得15分；</w:t>
            </w:r>
            <w:r>
              <w:rPr>
                <w:rFonts w:hint="default" w:hAnsi="宋体" w:cs="宋体"/>
                <w:color w:val="auto"/>
                <w:szCs w:val="21"/>
                <w:highlight w:val="none"/>
              </w:rPr>
              <w:br w:type="textWrapping"/>
            </w:r>
            <w:r>
              <w:rPr>
                <w:rFonts w:hint="default" w:hAnsi="宋体" w:cs="宋体"/>
                <w:color w:val="auto"/>
                <w:szCs w:val="21"/>
                <w:highlight w:val="none"/>
              </w:rPr>
              <w:t>（2）方案与主题较贴合，规划较合理，设计效果较好，可操作性较强为良，得10分；</w:t>
            </w:r>
            <w:r>
              <w:rPr>
                <w:rFonts w:hint="default" w:hAnsi="宋体" w:cs="宋体"/>
                <w:color w:val="auto"/>
                <w:szCs w:val="21"/>
                <w:highlight w:val="none"/>
              </w:rPr>
              <w:br w:type="textWrapping"/>
            </w:r>
            <w:r>
              <w:rPr>
                <w:rFonts w:hint="default" w:hAnsi="宋体" w:cs="宋体"/>
                <w:color w:val="auto"/>
                <w:szCs w:val="21"/>
                <w:highlight w:val="none"/>
              </w:rPr>
              <w:t>（3）方案与主题贴合性一般，规划不合理，设计效果差，可操作性差</w:t>
            </w:r>
            <w:r>
              <w:rPr>
                <w:rFonts w:hint="default" w:hAnsi="宋体" w:cs="宋体"/>
                <w:color w:val="auto"/>
                <w:szCs w:val="21"/>
                <w:highlight w:val="none"/>
                <w:lang w:eastAsia="zh-CN"/>
              </w:rPr>
              <w:t>，</w:t>
            </w:r>
            <w:r>
              <w:rPr>
                <w:rFonts w:hint="default" w:hAnsi="宋体" w:cs="宋体"/>
                <w:color w:val="auto"/>
                <w:szCs w:val="21"/>
                <w:highlight w:val="none"/>
              </w:rPr>
              <w:t>得5分</w:t>
            </w:r>
            <w:r>
              <w:rPr>
                <w:rFonts w:hint="default" w:hAnsi="宋体" w:cs="宋体"/>
                <w:color w:val="auto"/>
                <w:szCs w:val="21"/>
                <w:highlight w:val="none"/>
                <w:lang w:eastAsia="zh-CN"/>
              </w:rPr>
              <w:t>；</w:t>
            </w:r>
          </w:p>
          <w:p>
            <w:pPr>
              <w:snapToGrid w:val="0"/>
              <w:jc w:val="left"/>
              <w:outlineLvl w:val="2"/>
              <w:rPr>
                <w:rFonts w:hint="default" w:hAnsi="宋体" w:cs="宋体"/>
                <w:color w:val="auto"/>
                <w:szCs w:val="21"/>
                <w:highlight w:val="none"/>
              </w:rPr>
            </w:pPr>
            <w:r>
              <w:rPr>
                <w:rFonts w:hint="default" w:hAnsi="宋体" w:cs="宋体"/>
                <w:color w:val="auto"/>
                <w:szCs w:val="21"/>
                <w:highlight w:val="none"/>
                <w:lang w:eastAsia="zh-CN"/>
              </w:rPr>
              <w:t>（</w:t>
            </w:r>
            <w:r>
              <w:rPr>
                <w:rFonts w:hint="default" w:hAnsi="宋体" w:cs="宋体"/>
                <w:color w:val="auto"/>
                <w:szCs w:val="21"/>
                <w:highlight w:val="none"/>
                <w:lang w:val="en-US" w:eastAsia="zh-CN"/>
              </w:rPr>
              <w:t>4</w:t>
            </w:r>
            <w:r>
              <w:rPr>
                <w:rFonts w:hint="default" w:hAnsi="宋体" w:cs="宋体"/>
                <w:color w:val="auto"/>
                <w:szCs w:val="21"/>
                <w:highlight w:val="none"/>
                <w:lang w:eastAsia="zh-CN"/>
              </w:rPr>
              <w:t>）</w:t>
            </w:r>
            <w:r>
              <w:rPr>
                <w:rFonts w:hint="eastAsia" w:hAnsi="宋体" w:cs="宋体"/>
                <w:color w:val="auto"/>
                <w:szCs w:val="21"/>
                <w:highlight w:val="none"/>
              </w:rPr>
              <w:t>未提供</w:t>
            </w:r>
            <w:r>
              <w:rPr>
                <w:rFonts w:hint="default" w:hAnsi="宋体" w:cs="宋体"/>
                <w:color w:val="auto"/>
                <w:szCs w:val="21"/>
                <w:highlight w:val="none"/>
                <w:lang w:val="en-US" w:eastAsia="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napToGrid w:val="0"/>
              <w:jc w:val="left"/>
              <w:outlineLvl w:val="2"/>
              <w:rPr>
                <w:rFonts w:hint="eastAsia" w:hAnsi="宋体" w:cs="宋体"/>
                <w:color w:val="auto"/>
                <w:szCs w:val="21"/>
                <w:highlight w:val="none"/>
              </w:rPr>
            </w:pPr>
            <w:r>
              <w:rPr>
                <w:rFonts w:hint="eastAsia" w:hAnsi="宋体" w:cs="宋体"/>
                <w:color w:val="auto"/>
                <w:szCs w:val="21"/>
                <w:highlight w:val="none"/>
              </w:rPr>
              <w:t>3</w:t>
            </w:r>
          </w:p>
        </w:tc>
        <w:tc>
          <w:tcPr>
            <w:tcW w:w="1560" w:type="dxa"/>
            <w:vAlign w:val="center"/>
          </w:tcPr>
          <w:p>
            <w:pPr>
              <w:snapToGrid w:val="0"/>
              <w:jc w:val="left"/>
              <w:outlineLvl w:val="2"/>
              <w:rPr>
                <w:rFonts w:hint="eastAsia" w:hAnsi="宋体" w:cs="宋体"/>
                <w:color w:val="auto"/>
                <w:szCs w:val="21"/>
                <w:highlight w:val="none"/>
              </w:rPr>
            </w:pPr>
            <w:r>
              <w:rPr>
                <w:rFonts w:hint="eastAsia" w:hAnsi="宋体" w:cs="宋体"/>
                <w:color w:val="auto"/>
                <w:szCs w:val="21"/>
                <w:highlight w:val="none"/>
              </w:rPr>
              <w:t>展示内容策划与实施</w:t>
            </w:r>
          </w:p>
        </w:tc>
        <w:tc>
          <w:tcPr>
            <w:tcW w:w="850" w:type="dxa"/>
            <w:vAlign w:val="center"/>
          </w:tcPr>
          <w:p>
            <w:pPr>
              <w:snapToGrid w:val="0"/>
              <w:jc w:val="left"/>
              <w:outlineLvl w:val="2"/>
              <w:rPr>
                <w:rFonts w:hint="eastAsia" w:hAnsi="宋体" w:cs="宋体"/>
                <w:color w:val="auto"/>
                <w:szCs w:val="21"/>
                <w:highlight w:val="none"/>
              </w:rPr>
            </w:pPr>
            <w:r>
              <w:rPr>
                <w:rFonts w:hint="eastAsia" w:hAnsi="宋体" w:cs="宋体"/>
                <w:color w:val="auto"/>
                <w:szCs w:val="21"/>
                <w:highlight w:val="none"/>
              </w:rPr>
              <w:t>15</w:t>
            </w:r>
          </w:p>
        </w:tc>
        <w:tc>
          <w:tcPr>
            <w:tcW w:w="6315" w:type="dxa"/>
            <w:vAlign w:val="center"/>
          </w:tcPr>
          <w:p>
            <w:pPr>
              <w:snapToGrid w:val="0"/>
              <w:jc w:val="left"/>
              <w:outlineLvl w:val="2"/>
              <w:rPr>
                <w:rFonts w:hint="eastAsia" w:hAnsi="宋体" w:cs="宋体"/>
                <w:color w:val="auto"/>
                <w:szCs w:val="21"/>
                <w:highlight w:val="none"/>
              </w:rPr>
            </w:pPr>
            <w:r>
              <w:rPr>
                <w:rFonts w:hint="eastAsia" w:hAnsi="宋体" w:cs="宋体"/>
                <w:color w:val="auto"/>
                <w:szCs w:val="21"/>
                <w:highlight w:val="none"/>
              </w:rPr>
              <w:t>根据</w:t>
            </w:r>
            <w:r>
              <w:rPr>
                <w:rFonts w:hint="eastAsia" w:hAnsi="宋体" w:cs="宋体"/>
                <w:color w:val="auto"/>
                <w:szCs w:val="21"/>
                <w:highlight w:val="none"/>
                <w:lang w:eastAsia="zh-CN"/>
              </w:rPr>
              <w:t>供应商</w:t>
            </w:r>
            <w:r>
              <w:rPr>
                <w:rFonts w:hint="eastAsia" w:hAnsi="宋体" w:cs="宋体"/>
                <w:color w:val="auto"/>
                <w:szCs w:val="21"/>
                <w:highlight w:val="none"/>
              </w:rPr>
              <w:t>针对本项目提供的展示内容策划方案（包括但不限于主题形象区、产业实力与创新成果展示区、洽谈合作区的内容组织、展示手段、实物展品安排等）进行综合打分：</w:t>
            </w:r>
            <w:r>
              <w:rPr>
                <w:rFonts w:hint="eastAsia" w:hAnsi="宋体" w:cs="宋体"/>
                <w:color w:val="auto"/>
                <w:szCs w:val="21"/>
                <w:highlight w:val="none"/>
              </w:rPr>
              <w:br w:type="textWrapping"/>
            </w:r>
            <w:r>
              <w:rPr>
                <w:rFonts w:hint="eastAsia" w:hAnsi="宋体" w:cs="宋体"/>
                <w:color w:val="auto"/>
                <w:szCs w:val="21"/>
                <w:highlight w:val="none"/>
              </w:rPr>
              <w:t>（1）策划方案全面体现南通海洋经济成果，展示手段丰富，实物展示安排合理，与采购需求高度契合为优，得15分；</w:t>
            </w:r>
            <w:r>
              <w:rPr>
                <w:rFonts w:hint="eastAsia" w:hAnsi="宋体" w:cs="宋体"/>
                <w:color w:val="auto"/>
                <w:szCs w:val="21"/>
                <w:highlight w:val="none"/>
              </w:rPr>
              <w:br w:type="textWrapping"/>
            </w:r>
            <w:r>
              <w:rPr>
                <w:rFonts w:hint="eastAsia" w:hAnsi="宋体" w:cs="宋体"/>
                <w:color w:val="auto"/>
                <w:szCs w:val="21"/>
                <w:highlight w:val="none"/>
              </w:rPr>
              <w:t>（2）策划方案较全面，展示手段较丰富，与采购需求较契合为良，得10分；</w:t>
            </w:r>
            <w:r>
              <w:rPr>
                <w:rFonts w:hint="eastAsia" w:hAnsi="宋体" w:cs="宋体"/>
                <w:color w:val="auto"/>
                <w:szCs w:val="21"/>
                <w:highlight w:val="none"/>
              </w:rPr>
              <w:br w:type="textWrapping"/>
            </w:r>
            <w:r>
              <w:rPr>
                <w:rFonts w:hint="eastAsia" w:hAnsi="宋体" w:cs="宋体"/>
                <w:color w:val="auto"/>
                <w:szCs w:val="21"/>
                <w:highlight w:val="none"/>
              </w:rPr>
              <w:t>（3）策划方案完整性一般，展示手段一般，与采购需求基本契合为中，得5分；</w:t>
            </w:r>
            <w:r>
              <w:rPr>
                <w:rFonts w:hint="eastAsia" w:hAnsi="宋体" w:cs="宋体"/>
                <w:color w:val="auto"/>
                <w:szCs w:val="21"/>
                <w:highlight w:val="none"/>
              </w:rPr>
              <w:br w:type="textWrapping"/>
            </w:r>
            <w:r>
              <w:rPr>
                <w:rFonts w:hint="eastAsia" w:hAnsi="宋体" w:cs="宋体"/>
                <w:color w:val="auto"/>
                <w:szCs w:val="21"/>
                <w:highlight w:val="none"/>
              </w:rPr>
              <w:t>（4）策划方案不完整，展示手段单一，与采购需求契合度差或未提供为差，不得分。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napToGrid w:val="0"/>
              <w:jc w:val="left"/>
              <w:outlineLvl w:val="2"/>
              <w:rPr>
                <w:rFonts w:hint="eastAsia" w:hAnsi="宋体" w:cs="宋体"/>
                <w:color w:val="auto"/>
                <w:szCs w:val="21"/>
                <w:highlight w:val="none"/>
              </w:rPr>
            </w:pPr>
            <w:r>
              <w:rPr>
                <w:rFonts w:hint="eastAsia" w:hAnsi="宋体" w:cs="宋体"/>
                <w:color w:val="auto"/>
                <w:szCs w:val="21"/>
                <w:highlight w:val="none"/>
              </w:rPr>
              <w:t>4</w:t>
            </w:r>
          </w:p>
        </w:tc>
        <w:tc>
          <w:tcPr>
            <w:tcW w:w="1560" w:type="dxa"/>
            <w:vAlign w:val="center"/>
          </w:tcPr>
          <w:p>
            <w:pPr>
              <w:snapToGrid w:val="0"/>
              <w:jc w:val="left"/>
              <w:outlineLvl w:val="2"/>
              <w:rPr>
                <w:rFonts w:hint="eastAsia" w:hAnsi="宋体" w:cs="宋体"/>
                <w:color w:val="auto"/>
                <w:szCs w:val="21"/>
                <w:highlight w:val="none"/>
              </w:rPr>
            </w:pPr>
            <w:r>
              <w:rPr>
                <w:rFonts w:hint="eastAsia" w:hAnsi="宋体" w:cs="宋体"/>
                <w:color w:val="auto"/>
                <w:szCs w:val="21"/>
                <w:highlight w:val="none"/>
              </w:rPr>
              <w:t>活动执行与现场服务方案</w:t>
            </w:r>
          </w:p>
        </w:tc>
        <w:tc>
          <w:tcPr>
            <w:tcW w:w="850" w:type="dxa"/>
            <w:vAlign w:val="center"/>
          </w:tcPr>
          <w:p>
            <w:pPr>
              <w:snapToGrid w:val="0"/>
              <w:jc w:val="left"/>
              <w:outlineLvl w:val="2"/>
              <w:rPr>
                <w:rFonts w:hint="eastAsia" w:hAnsi="宋体" w:cs="宋体"/>
                <w:color w:val="auto"/>
                <w:szCs w:val="21"/>
                <w:highlight w:val="none"/>
              </w:rPr>
            </w:pPr>
            <w:r>
              <w:rPr>
                <w:rFonts w:hint="eastAsia" w:hAnsi="宋体" w:cs="宋体"/>
                <w:color w:val="auto"/>
                <w:szCs w:val="21"/>
                <w:highlight w:val="none"/>
              </w:rPr>
              <w:t>10</w:t>
            </w:r>
          </w:p>
        </w:tc>
        <w:tc>
          <w:tcPr>
            <w:tcW w:w="6315" w:type="dxa"/>
            <w:vAlign w:val="center"/>
          </w:tcPr>
          <w:p>
            <w:pPr>
              <w:snapToGrid w:val="0"/>
              <w:jc w:val="left"/>
              <w:outlineLvl w:val="2"/>
              <w:rPr>
                <w:rFonts w:hint="eastAsia" w:hAnsi="宋体" w:cs="宋体"/>
                <w:color w:val="auto"/>
                <w:szCs w:val="21"/>
                <w:highlight w:val="none"/>
              </w:rPr>
            </w:pPr>
            <w:r>
              <w:rPr>
                <w:rFonts w:hint="eastAsia" w:hAnsi="宋体" w:cs="宋体"/>
                <w:color w:val="auto"/>
                <w:szCs w:val="21"/>
                <w:highlight w:val="none"/>
              </w:rPr>
              <w:t>根据</w:t>
            </w:r>
            <w:r>
              <w:rPr>
                <w:rFonts w:hint="eastAsia" w:hAnsi="宋体" w:cs="宋体"/>
                <w:color w:val="auto"/>
                <w:szCs w:val="21"/>
                <w:highlight w:val="none"/>
                <w:lang w:eastAsia="zh-CN"/>
              </w:rPr>
              <w:t>供应商</w:t>
            </w:r>
            <w:r>
              <w:rPr>
                <w:rFonts w:hint="eastAsia" w:hAnsi="宋体" w:cs="宋体"/>
                <w:color w:val="auto"/>
                <w:szCs w:val="21"/>
                <w:highlight w:val="none"/>
              </w:rPr>
              <w:t>针对本项目提供的展会期间活动执行方案（包括领导巡馆、专场推介会、媒体宣传等活动的组织、协调、服务保障）及现场运营管理方案进行综合打分：</w:t>
            </w:r>
            <w:r>
              <w:rPr>
                <w:rFonts w:hint="eastAsia" w:hAnsi="宋体" w:cs="宋体"/>
                <w:color w:val="auto"/>
                <w:szCs w:val="21"/>
                <w:highlight w:val="none"/>
              </w:rPr>
              <w:br w:type="textWrapping"/>
            </w:r>
            <w:r>
              <w:rPr>
                <w:rFonts w:hint="eastAsia" w:hAnsi="宋体" w:cs="宋体"/>
                <w:color w:val="auto"/>
                <w:szCs w:val="21"/>
                <w:highlight w:val="none"/>
              </w:rPr>
              <w:t>（1）方案详细周到，流程清晰，责任明确，保障措施有力为优，得10分；</w:t>
            </w:r>
            <w:r>
              <w:rPr>
                <w:rFonts w:hint="eastAsia" w:hAnsi="宋体" w:cs="宋体"/>
                <w:color w:val="auto"/>
                <w:szCs w:val="21"/>
                <w:highlight w:val="none"/>
              </w:rPr>
              <w:br w:type="textWrapping"/>
            </w:r>
            <w:r>
              <w:rPr>
                <w:rFonts w:hint="eastAsia" w:hAnsi="宋体" w:cs="宋体"/>
                <w:color w:val="auto"/>
                <w:szCs w:val="21"/>
                <w:highlight w:val="none"/>
              </w:rPr>
              <w:t>（2）方案较详细，流程较清晰，保障措施较有力为良，得6分；</w:t>
            </w:r>
            <w:r>
              <w:rPr>
                <w:rFonts w:hint="eastAsia" w:hAnsi="宋体" w:cs="宋体"/>
                <w:color w:val="auto"/>
                <w:szCs w:val="21"/>
                <w:highlight w:val="none"/>
              </w:rPr>
              <w:br w:type="textWrapping"/>
            </w:r>
            <w:r>
              <w:rPr>
                <w:rFonts w:hint="eastAsia" w:hAnsi="宋体" w:cs="宋体"/>
                <w:color w:val="auto"/>
                <w:szCs w:val="21"/>
                <w:highlight w:val="none"/>
              </w:rPr>
              <w:t>（3）方案完整性一般，流程基本清晰，有基本保障措施为中，得2分；</w:t>
            </w:r>
            <w:r>
              <w:rPr>
                <w:rFonts w:hint="eastAsia" w:hAnsi="宋体" w:cs="宋体"/>
                <w:color w:val="auto"/>
                <w:szCs w:val="21"/>
                <w:highlight w:val="none"/>
              </w:rPr>
              <w:br w:type="textWrapping"/>
            </w:r>
            <w:r>
              <w:rPr>
                <w:rFonts w:hint="eastAsia" w:hAnsi="宋体" w:cs="宋体"/>
                <w:color w:val="auto"/>
                <w:szCs w:val="21"/>
                <w:highlight w:val="none"/>
              </w:rPr>
              <w:t>（4）方案不完善，流程混乱，保障措施不足或未提供为差，不得分。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napToGrid w:val="0"/>
              <w:jc w:val="left"/>
              <w:outlineLvl w:val="2"/>
              <w:rPr>
                <w:rFonts w:hint="eastAsia" w:hAnsi="宋体" w:cs="宋体"/>
                <w:color w:val="auto"/>
                <w:szCs w:val="21"/>
                <w:highlight w:val="none"/>
              </w:rPr>
            </w:pPr>
            <w:r>
              <w:rPr>
                <w:rFonts w:hint="eastAsia" w:hAnsi="宋体" w:cs="宋体"/>
                <w:color w:val="auto"/>
                <w:szCs w:val="21"/>
                <w:highlight w:val="none"/>
              </w:rPr>
              <w:t>5</w:t>
            </w:r>
          </w:p>
        </w:tc>
        <w:tc>
          <w:tcPr>
            <w:tcW w:w="1560" w:type="dxa"/>
            <w:vAlign w:val="center"/>
          </w:tcPr>
          <w:p>
            <w:pPr>
              <w:snapToGrid w:val="0"/>
              <w:jc w:val="left"/>
              <w:outlineLvl w:val="2"/>
              <w:rPr>
                <w:rFonts w:hint="eastAsia" w:hAnsi="宋体" w:cs="宋体"/>
                <w:color w:val="auto"/>
                <w:szCs w:val="21"/>
                <w:highlight w:val="none"/>
              </w:rPr>
            </w:pPr>
            <w:r>
              <w:rPr>
                <w:rFonts w:hint="eastAsia" w:hAnsi="宋体" w:cs="宋体"/>
                <w:color w:val="auto"/>
                <w:szCs w:val="21"/>
                <w:highlight w:val="none"/>
              </w:rPr>
              <w:t>项目应急及保障</w:t>
            </w:r>
          </w:p>
        </w:tc>
        <w:tc>
          <w:tcPr>
            <w:tcW w:w="850" w:type="dxa"/>
            <w:vAlign w:val="center"/>
          </w:tcPr>
          <w:p>
            <w:pPr>
              <w:snapToGrid w:val="0"/>
              <w:jc w:val="left"/>
              <w:outlineLvl w:val="2"/>
              <w:rPr>
                <w:rFonts w:hint="eastAsia" w:hAnsi="宋体" w:cs="宋体"/>
                <w:color w:val="auto"/>
                <w:szCs w:val="21"/>
                <w:highlight w:val="none"/>
              </w:rPr>
            </w:pPr>
            <w:r>
              <w:rPr>
                <w:rFonts w:hint="eastAsia" w:hAnsi="宋体" w:cs="宋体"/>
                <w:color w:val="auto"/>
                <w:szCs w:val="21"/>
                <w:highlight w:val="none"/>
              </w:rPr>
              <w:t>10</w:t>
            </w:r>
          </w:p>
        </w:tc>
        <w:tc>
          <w:tcPr>
            <w:tcW w:w="6315" w:type="dxa"/>
            <w:vAlign w:val="center"/>
          </w:tcPr>
          <w:p>
            <w:pPr>
              <w:snapToGrid w:val="0"/>
              <w:jc w:val="left"/>
              <w:outlineLvl w:val="2"/>
              <w:rPr>
                <w:rFonts w:hint="eastAsia" w:hAnsi="宋体" w:cs="宋体"/>
                <w:color w:val="auto"/>
                <w:szCs w:val="21"/>
                <w:highlight w:val="none"/>
              </w:rPr>
            </w:pPr>
            <w:r>
              <w:rPr>
                <w:rFonts w:hint="eastAsia" w:hAnsi="宋体" w:cs="宋体"/>
                <w:color w:val="auto"/>
                <w:szCs w:val="21"/>
                <w:highlight w:val="none"/>
              </w:rPr>
              <w:t xml:space="preserve">（1）根据安全管理与安全保 障措施方案（包括不限于展会 </w:t>
            </w:r>
          </w:p>
          <w:p>
            <w:pPr>
              <w:snapToGrid w:val="0"/>
              <w:jc w:val="left"/>
              <w:outlineLvl w:val="2"/>
              <w:rPr>
                <w:rFonts w:hint="eastAsia" w:hAnsi="宋体" w:cs="宋体"/>
                <w:color w:val="auto"/>
                <w:szCs w:val="21"/>
                <w:highlight w:val="none"/>
              </w:rPr>
            </w:pPr>
            <w:r>
              <w:rPr>
                <w:rFonts w:hint="eastAsia" w:hAnsi="宋体" w:cs="宋体"/>
                <w:color w:val="auto"/>
                <w:szCs w:val="21"/>
                <w:highlight w:val="none"/>
              </w:rPr>
              <w:t xml:space="preserve">现场搭建施工安全管理及安全 检查方案）进行评审： </w:t>
            </w:r>
          </w:p>
          <w:p>
            <w:pPr>
              <w:snapToGrid w:val="0"/>
              <w:jc w:val="left"/>
              <w:outlineLvl w:val="2"/>
              <w:rPr>
                <w:rFonts w:hint="eastAsia" w:hAnsi="宋体" w:cs="宋体"/>
                <w:color w:val="auto"/>
                <w:szCs w:val="21"/>
                <w:highlight w:val="none"/>
              </w:rPr>
            </w:pPr>
            <w:r>
              <w:rPr>
                <w:rFonts w:hint="eastAsia" w:hAnsi="宋体" w:cs="宋体"/>
                <w:color w:val="auto"/>
                <w:szCs w:val="21"/>
                <w:highlight w:val="none"/>
              </w:rPr>
              <w:t xml:space="preserve">方案详尽、针对性强、考虑全面、安全措施有力且贴合项目实施条件的，得5分； </w:t>
            </w:r>
          </w:p>
          <w:p>
            <w:pPr>
              <w:snapToGrid w:val="0"/>
              <w:jc w:val="left"/>
              <w:outlineLvl w:val="2"/>
              <w:rPr>
                <w:rFonts w:hint="eastAsia" w:hAnsi="宋体" w:cs="宋体"/>
                <w:color w:val="auto"/>
                <w:szCs w:val="21"/>
                <w:highlight w:val="none"/>
              </w:rPr>
            </w:pPr>
            <w:r>
              <w:rPr>
                <w:rFonts w:hint="eastAsia" w:hAnsi="宋体" w:cs="宋体"/>
                <w:color w:val="auto"/>
                <w:szCs w:val="21"/>
                <w:highlight w:val="none"/>
              </w:rPr>
              <w:t xml:space="preserve">方案完整、合理可行、基本满 足项目实施条件的，得3分； </w:t>
            </w:r>
          </w:p>
          <w:p>
            <w:pPr>
              <w:snapToGrid w:val="0"/>
              <w:jc w:val="left"/>
              <w:outlineLvl w:val="2"/>
              <w:rPr>
                <w:rFonts w:hint="eastAsia" w:hAnsi="宋体" w:cs="宋体"/>
                <w:color w:val="auto"/>
                <w:szCs w:val="21"/>
                <w:highlight w:val="none"/>
              </w:rPr>
            </w:pPr>
            <w:r>
              <w:rPr>
                <w:rFonts w:hint="eastAsia" w:hAnsi="宋体" w:cs="宋体"/>
                <w:color w:val="auto"/>
                <w:szCs w:val="21"/>
                <w:highlight w:val="none"/>
              </w:rPr>
              <w:t xml:space="preserve">方案简单、无针对性的或条理不够清晰的，得1分； 方案不满足或未提供的不得分。 </w:t>
            </w:r>
          </w:p>
          <w:p>
            <w:pPr>
              <w:snapToGrid w:val="0"/>
              <w:jc w:val="left"/>
              <w:outlineLvl w:val="2"/>
              <w:rPr>
                <w:rFonts w:hint="eastAsia" w:hAnsi="宋体" w:cs="宋体"/>
                <w:color w:val="auto"/>
                <w:szCs w:val="21"/>
                <w:highlight w:val="none"/>
              </w:rPr>
            </w:pPr>
            <w:r>
              <w:rPr>
                <w:rFonts w:hint="eastAsia" w:hAnsi="宋体" w:cs="宋体"/>
                <w:color w:val="auto"/>
                <w:szCs w:val="21"/>
                <w:highlight w:val="none"/>
              </w:rPr>
              <w:t xml:space="preserve">（2）根据应急预案方案（包括不限于项目准备、实施、撤展期间可预测的各类突发事件 及现场处置方案等）进行评审： </w:t>
            </w:r>
          </w:p>
          <w:p>
            <w:pPr>
              <w:snapToGrid w:val="0"/>
              <w:jc w:val="left"/>
              <w:outlineLvl w:val="2"/>
              <w:rPr>
                <w:rFonts w:hint="eastAsia" w:hAnsi="宋体" w:cs="宋体"/>
                <w:color w:val="auto"/>
                <w:szCs w:val="21"/>
                <w:highlight w:val="none"/>
              </w:rPr>
            </w:pPr>
            <w:r>
              <w:rPr>
                <w:rFonts w:hint="eastAsia" w:hAnsi="宋体" w:cs="宋体"/>
                <w:color w:val="auto"/>
                <w:szCs w:val="21"/>
                <w:highlight w:val="none"/>
              </w:rPr>
              <w:t xml:space="preserve">应急预案细致周密、科学可行、措施有力、应急协调能力强的，得5分； </w:t>
            </w:r>
          </w:p>
          <w:p>
            <w:pPr>
              <w:snapToGrid w:val="0"/>
              <w:jc w:val="left"/>
              <w:outlineLvl w:val="2"/>
              <w:rPr>
                <w:rFonts w:hint="eastAsia" w:hAnsi="宋体" w:cs="宋体"/>
                <w:color w:val="auto"/>
                <w:szCs w:val="21"/>
                <w:highlight w:val="none"/>
              </w:rPr>
            </w:pPr>
            <w:r>
              <w:rPr>
                <w:rFonts w:hint="eastAsia" w:hAnsi="宋体" w:cs="宋体"/>
                <w:color w:val="auto"/>
                <w:szCs w:val="21"/>
                <w:highlight w:val="none"/>
              </w:rPr>
              <w:t xml:space="preserve">应急预案比较完整、合理可行、措施一般、应急协调能力一般的，得3分； </w:t>
            </w:r>
          </w:p>
          <w:p>
            <w:pPr>
              <w:snapToGrid w:val="0"/>
              <w:jc w:val="left"/>
              <w:outlineLvl w:val="2"/>
              <w:rPr>
                <w:rFonts w:hint="eastAsia" w:hAnsi="宋体" w:cs="宋体"/>
                <w:color w:val="auto"/>
                <w:szCs w:val="21"/>
                <w:highlight w:val="none"/>
              </w:rPr>
            </w:pPr>
            <w:r>
              <w:rPr>
                <w:rFonts w:hint="eastAsia" w:hAnsi="宋体" w:cs="宋体"/>
                <w:color w:val="auto"/>
                <w:szCs w:val="21"/>
                <w:highlight w:val="none"/>
              </w:rPr>
              <w:t xml:space="preserve">应急预案不够清晰，缺乏专业性的，得1分； </w:t>
            </w:r>
          </w:p>
          <w:p>
            <w:pPr>
              <w:snapToGrid w:val="0"/>
              <w:jc w:val="left"/>
              <w:outlineLvl w:val="2"/>
              <w:rPr>
                <w:rFonts w:hint="eastAsia" w:hAnsi="宋体" w:cs="宋体"/>
                <w:color w:val="auto"/>
                <w:szCs w:val="21"/>
                <w:highlight w:val="none"/>
              </w:rPr>
            </w:pPr>
            <w:r>
              <w:rPr>
                <w:rFonts w:hint="eastAsia" w:hAnsi="宋体" w:cs="宋体"/>
                <w:color w:val="auto"/>
                <w:szCs w:val="21"/>
                <w:highlight w:val="none"/>
              </w:rPr>
              <w:t>方案不满足或未提供的不得分。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napToGrid w:val="0"/>
              <w:jc w:val="left"/>
              <w:outlineLvl w:val="2"/>
              <w:rPr>
                <w:rFonts w:hint="eastAsia" w:hAnsi="宋体" w:cs="宋体"/>
                <w:color w:val="auto"/>
                <w:szCs w:val="21"/>
                <w:highlight w:val="none"/>
              </w:rPr>
            </w:pPr>
            <w:r>
              <w:rPr>
                <w:rFonts w:hint="eastAsia" w:hAnsi="宋体" w:cs="宋体"/>
                <w:color w:val="auto"/>
                <w:szCs w:val="21"/>
                <w:highlight w:val="none"/>
              </w:rPr>
              <w:t>6</w:t>
            </w:r>
          </w:p>
        </w:tc>
        <w:tc>
          <w:tcPr>
            <w:tcW w:w="1560" w:type="dxa"/>
            <w:vAlign w:val="center"/>
          </w:tcPr>
          <w:p>
            <w:pPr>
              <w:snapToGrid w:val="0"/>
              <w:jc w:val="left"/>
              <w:outlineLvl w:val="2"/>
              <w:rPr>
                <w:rFonts w:hint="eastAsia" w:hAnsi="宋体" w:cs="宋体"/>
                <w:color w:val="auto"/>
                <w:szCs w:val="21"/>
                <w:highlight w:val="none"/>
              </w:rPr>
            </w:pPr>
            <w:r>
              <w:rPr>
                <w:rFonts w:hint="eastAsia" w:hAnsi="宋体" w:cs="宋体"/>
                <w:color w:val="auto"/>
                <w:szCs w:val="21"/>
                <w:highlight w:val="none"/>
              </w:rPr>
              <w:t>团队人员配置</w:t>
            </w:r>
          </w:p>
        </w:tc>
        <w:tc>
          <w:tcPr>
            <w:tcW w:w="850" w:type="dxa"/>
            <w:vAlign w:val="center"/>
          </w:tcPr>
          <w:p>
            <w:pPr>
              <w:snapToGrid w:val="0"/>
              <w:jc w:val="left"/>
              <w:outlineLvl w:val="2"/>
              <w:rPr>
                <w:rFonts w:hint="eastAsia" w:hAnsi="宋体" w:cs="宋体"/>
                <w:color w:val="auto"/>
                <w:szCs w:val="21"/>
                <w:highlight w:val="none"/>
              </w:rPr>
            </w:pPr>
            <w:r>
              <w:rPr>
                <w:rFonts w:hint="eastAsia" w:hAnsi="宋体" w:cs="宋体"/>
                <w:color w:val="auto"/>
                <w:szCs w:val="21"/>
                <w:highlight w:val="none"/>
              </w:rPr>
              <w:t>5</w:t>
            </w:r>
          </w:p>
        </w:tc>
        <w:tc>
          <w:tcPr>
            <w:tcW w:w="6315" w:type="dxa"/>
            <w:vAlign w:val="center"/>
          </w:tcPr>
          <w:p>
            <w:pPr>
              <w:snapToGrid w:val="0"/>
              <w:jc w:val="left"/>
              <w:outlineLvl w:val="2"/>
              <w:rPr>
                <w:rFonts w:hint="eastAsia" w:hAnsi="宋体" w:cs="宋体"/>
                <w:color w:val="auto"/>
                <w:szCs w:val="21"/>
                <w:highlight w:val="none"/>
              </w:rPr>
            </w:pPr>
            <w:r>
              <w:rPr>
                <w:rFonts w:hint="eastAsia" w:hAnsi="宋体" w:cs="宋体"/>
                <w:color w:val="auto"/>
                <w:szCs w:val="21"/>
                <w:highlight w:val="none"/>
              </w:rPr>
              <w:t>根据拟派项目经理及团队成员的资质、经验（特别是大型展会、大型会务服务经验）进行综合打分：</w:t>
            </w:r>
            <w:r>
              <w:rPr>
                <w:rFonts w:hint="eastAsia" w:hAnsi="宋体" w:cs="宋体"/>
                <w:color w:val="auto"/>
                <w:szCs w:val="21"/>
                <w:highlight w:val="none"/>
              </w:rPr>
              <w:br w:type="textWrapping"/>
            </w:r>
            <w:r>
              <w:rPr>
                <w:rFonts w:hint="eastAsia" w:hAnsi="宋体" w:cs="宋体"/>
                <w:color w:val="auto"/>
                <w:szCs w:val="21"/>
                <w:highlight w:val="none"/>
              </w:rPr>
              <w:t>（1）团队配置完善，项目经理经验丰富，有成功执行类似项目经验为优，得5分；</w:t>
            </w:r>
            <w:r>
              <w:rPr>
                <w:rFonts w:hint="eastAsia" w:hAnsi="宋体" w:cs="宋体"/>
                <w:color w:val="auto"/>
                <w:szCs w:val="21"/>
                <w:highlight w:val="none"/>
              </w:rPr>
              <w:br w:type="textWrapping"/>
            </w:r>
            <w:r>
              <w:rPr>
                <w:rFonts w:hint="eastAsia" w:hAnsi="宋体" w:cs="宋体"/>
                <w:color w:val="auto"/>
                <w:szCs w:val="21"/>
                <w:highlight w:val="none"/>
              </w:rPr>
              <w:t>（2）团队配置较完善，项目经理经验较丰富，有相关项目经验为良，得3分；</w:t>
            </w:r>
            <w:r>
              <w:rPr>
                <w:rFonts w:hint="eastAsia" w:hAnsi="宋体" w:cs="宋体"/>
                <w:color w:val="auto"/>
                <w:szCs w:val="21"/>
                <w:highlight w:val="none"/>
              </w:rPr>
              <w:br w:type="textWrapping"/>
            </w:r>
            <w:r>
              <w:rPr>
                <w:rFonts w:hint="eastAsia" w:hAnsi="宋体" w:cs="宋体"/>
                <w:color w:val="auto"/>
                <w:szCs w:val="21"/>
                <w:highlight w:val="none"/>
              </w:rPr>
              <w:t>（3）团队配置基本完整，项目经理经验一般为中，得1分；</w:t>
            </w:r>
            <w:r>
              <w:rPr>
                <w:rFonts w:hint="eastAsia" w:hAnsi="宋体" w:cs="宋体"/>
                <w:color w:val="auto"/>
                <w:szCs w:val="21"/>
                <w:highlight w:val="none"/>
              </w:rPr>
              <w:br w:type="textWrapping"/>
            </w:r>
            <w:r>
              <w:rPr>
                <w:rFonts w:hint="eastAsia" w:hAnsi="宋体" w:cs="宋体"/>
                <w:color w:val="auto"/>
                <w:szCs w:val="21"/>
                <w:highlight w:val="none"/>
              </w:rPr>
              <w:t>（4）团队配置不足，项目经理无相关经验或未提供为差，不得分。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napToGrid w:val="0"/>
              <w:jc w:val="left"/>
              <w:outlineLvl w:val="2"/>
              <w:rPr>
                <w:rFonts w:hint="eastAsia" w:hAnsi="宋体" w:cs="宋体"/>
                <w:color w:val="auto"/>
                <w:szCs w:val="21"/>
                <w:highlight w:val="none"/>
              </w:rPr>
            </w:pPr>
            <w:r>
              <w:rPr>
                <w:rFonts w:hint="eastAsia" w:hAnsi="宋体" w:cs="宋体"/>
                <w:color w:val="auto"/>
                <w:szCs w:val="21"/>
                <w:highlight w:val="none"/>
              </w:rPr>
              <w:t>7</w:t>
            </w:r>
          </w:p>
        </w:tc>
        <w:tc>
          <w:tcPr>
            <w:tcW w:w="1560" w:type="dxa"/>
            <w:vAlign w:val="center"/>
          </w:tcPr>
          <w:p>
            <w:pPr>
              <w:snapToGrid w:val="0"/>
              <w:jc w:val="left"/>
              <w:outlineLvl w:val="2"/>
              <w:rPr>
                <w:rFonts w:hint="eastAsia" w:hAnsi="宋体" w:cs="宋体"/>
                <w:color w:val="auto"/>
                <w:szCs w:val="21"/>
                <w:highlight w:val="none"/>
              </w:rPr>
            </w:pPr>
            <w:r>
              <w:rPr>
                <w:rFonts w:hint="eastAsia" w:hAnsi="宋体" w:cs="宋体"/>
                <w:color w:val="auto"/>
                <w:szCs w:val="21"/>
                <w:highlight w:val="none"/>
              </w:rPr>
              <w:t>媒体宣传推广</w:t>
            </w:r>
          </w:p>
        </w:tc>
        <w:tc>
          <w:tcPr>
            <w:tcW w:w="850" w:type="dxa"/>
            <w:vAlign w:val="center"/>
          </w:tcPr>
          <w:p>
            <w:pPr>
              <w:snapToGrid w:val="0"/>
              <w:jc w:val="left"/>
              <w:outlineLvl w:val="2"/>
              <w:rPr>
                <w:rFonts w:hint="eastAsia" w:hAnsi="宋体" w:cs="宋体"/>
                <w:color w:val="auto"/>
                <w:szCs w:val="21"/>
                <w:highlight w:val="none"/>
              </w:rPr>
            </w:pPr>
            <w:r>
              <w:rPr>
                <w:rFonts w:hint="eastAsia" w:hAnsi="宋体" w:cs="宋体"/>
                <w:color w:val="auto"/>
                <w:szCs w:val="21"/>
                <w:highlight w:val="none"/>
              </w:rPr>
              <w:t>5</w:t>
            </w:r>
          </w:p>
        </w:tc>
        <w:tc>
          <w:tcPr>
            <w:tcW w:w="6315" w:type="dxa"/>
            <w:vAlign w:val="center"/>
          </w:tcPr>
          <w:p>
            <w:pPr>
              <w:snapToGrid w:val="0"/>
              <w:jc w:val="left"/>
              <w:outlineLvl w:val="2"/>
              <w:rPr>
                <w:rFonts w:hint="eastAsia" w:hAnsi="宋体" w:cs="宋体"/>
                <w:color w:val="auto"/>
                <w:szCs w:val="21"/>
                <w:highlight w:val="none"/>
              </w:rPr>
            </w:pPr>
            <w:r>
              <w:rPr>
                <w:rFonts w:hint="eastAsia" w:hAnsi="宋体" w:cs="宋体"/>
                <w:color w:val="auto"/>
                <w:szCs w:val="21"/>
                <w:highlight w:val="none"/>
              </w:rPr>
              <w:t>根据</w:t>
            </w:r>
            <w:r>
              <w:rPr>
                <w:rFonts w:hint="eastAsia" w:hAnsi="宋体" w:cs="宋体"/>
                <w:color w:val="auto"/>
                <w:szCs w:val="21"/>
                <w:highlight w:val="none"/>
                <w:lang w:eastAsia="zh-CN"/>
              </w:rPr>
              <w:t>供应商</w:t>
            </w:r>
            <w:r>
              <w:rPr>
                <w:rFonts w:hint="eastAsia" w:hAnsi="宋体" w:cs="宋体"/>
                <w:color w:val="auto"/>
                <w:szCs w:val="21"/>
                <w:highlight w:val="none"/>
              </w:rPr>
              <w:t>针对项目需求对拟定的宣传、推广方案（包括但不限于推广渠道、推广时间计划、推广平台、广告投放渠道等），综合打分。</w:t>
            </w:r>
          </w:p>
          <w:p>
            <w:pPr>
              <w:snapToGrid w:val="0"/>
              <w:jc w:val="left"/>
              <w:outlineLvl w:val="2"/>
              <w:rPr>
                <w:rFonts w:hint="eastAsia" w:hAnsi="宋体" w:cs="宋体"/>
                <w:color w:val="auto"/>
                <w:szCs w:val="21"/>
                <w:highlight w:val="none"/>
              </w:rPr>
            </w:pPr>
            <w:r>
              <w:rPr>
                <w:rFonts w:hint="eastAsia" w:hAnsi="宋体" w:cs="宋体"/>
                <w:color w:val="auto"/>
                <w:szCs w:val="21"/>
                <w:highlight w:val="none"/>
              </w:rPr>
              <w:t>（1）推广渠</w:t>
            </w:r>
            <w:bookmarkStart w:id="29" w:name="_GoBack"/>
            <w:bookmarkEnd w:id="29"/>
            <w:r>
              <w:rPr>
                <w:rFonts w:hint="eastAsia" w:hAnsi="宋体" w:cs="宋体"/>
                <w:color w:val="auto"/>
                <w:szCs w:val="21"/>
                <w:highlight w:val="none"/>
              </w:rPr>
              <w:t>道多样，辐射面广；推广时间计划紧凑，与项目需求紧密衔接；推广全面为优，得5分；</w:t>
            </w:r>
          </w:p>
          <w:p>
            <w:pPr>
              <w:snapToGrid w:val="0"/>
              <w:jc w:val="left"/>
              <w:outlineLvl w:val="2"/>
              <w:rPr>
                <w:rFonts w:hint="eastAsia" w:hAnsi="宋体" w:cs="宋体"/>
                <w:color w:val="auto"/>
                <w:szCs w:val="21"/>
                <w:highlight w:val="none"/>
              </w:rPr>
            </w:pPr>
            <w:r>
              <w:rPr>
                <w:rFonts w:hint="eastAsia" w:hAnsi="宋体" w:cs="宋体"/>
                <w:color w:val="auto"/>
                <w:szCs w:val="21"/>
                <w:highlight w:val="none"/>
              </w:rPr>
              <w:t>（2）推广渠道及辐射面较全面；推广时间计划较紧凑；推广较全面为良，得3分；</w:t>
            </w:r>
          </w:p>
          <w:p>
            <w:pPr>
              <w:snapToGrid w:val="0"/>
              <w:jc w:val="left"/>
              <w:outlineLvl w:val="2"/>
              <w:rPr>
                <w:rFonts w:hint="eastAsia" w:hAnsi="宋体" w:cs="宋体"/>
                <w:color w:val="auto"/>
                <w:szCs w:val="21"/>
                <w:highlight w:val="none"/>
              </w:rPr>
            </w:pPr>
            <w:r>
              <w:rPr>
                <w:rFonts w:hint="eastAsia" w:hAnsi="宋体" w:cs="宋体"/>
                <w:color w:val="auto"/>
                <w:szCs w:val="21"/>
                <w:highlight w:val="none"/>
              </w:rPr>
              <w:t>（3）推广渠道及辐射面一般；推广时间计划紧凑度一般，得2分；</w:t>
            </w:r>
          </w:p>
          <w:p>
            <w:pPr>
              <w:snapToGrid w:val="0"/>
              <w:jc w:val="left"/>
              <w:outlineLvl w:val="2"/>
              <w:rPr>
                <w:rFonts w:hint="eastAsia" w:hAnsi="宋体" w:cs="宋体"/>
                <w:color w:val="auto"/>
                <w:szCs w:val="21"/>
                <w:highlight w:val="none"/>
              </w:rPr>
            </w:pPr>
            <w:r>
              <w:rPr>
                <w:rFonts w:hint="eastAsia" w:hAnsi="宋体" w:cs="宋体"/>
                <w:color w:val="auto"/>
                <w:szCs w:val="21"/>
                <w:highlight w:val="none"/>
              </w:rPr>
              <w:t>无广告投放渠道；无推广或未提供推广及宣传方案，不得分。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napToGrid w:val="0"/>
              <w:jc w:val="left"/>
              <w:outlineLvl w:val="2"/>
              <w:rPr>
                <w:rFonts w:hint="eastAsia" w:hAnsi="宋体" w:cs="宋体"/>
                <w:color w:val="auto"/>
                <w:szCs w:val="21"/>
                <w:highlight w:val="none"/>
              </w:rPr>
            </w:pPr>
          </w:p>
          <w:p>
            <w:pPr>
              <w:snapToGrid w:val="0"/>
              <w:jc w:val="left"/>
              <w:outlineLvl w:val="2"/>
              <w:rPr>
                <w:rFonts w:hint="eastAsia" w:hAnsi="宋体" w:cs="宋体"/>
                <w:color w:val="auto"/>
                <w:szCs w:val="21"/>
                <w:highlight w:val="none"/>
              </w:rPr>
            </w:pPr>
            <w:r>
              <w:rPr>
                <w:rFonts w:hint="eastAsia" w:hAnsi="宋体" w:cs="宋体"/>
                <w:color w:val="auto"/>
                <w:szCs w:val="21"/>
                <w:highlight w:val="none"/>
              </w:rPr>
              <w:t>8</w:t>
            </w:r>
          </w:p>
        </w:tc>
        <w:tc>
          <w:tcPr>
            <w:tcW w:w="1560" w:type="dxa"/>
            <w:vAlign w:val="center"/>
          </w:tcPr>
          <w:p>
            <w:pPr>
              <w:snapToGrid w:val="0"/>
              <w:jc w:val="left"/>
              <w:outlineLvl w:val="2"/>
              <w:rPr>
                <w:rFonts w:hint="eastAsia" w:hAnsi="宋体" w:cs="宋体"/>
                <w:color w:val="auto"/>
                <w:szCs w:val="21"/>
                <w:highlight w:val="none"/>
              </w:rPr>
            </w:pPr>
            <w:r>
              <w:rPr>
                <w:rFonts w:hint="eastAsia" w:hAnsi="宋体" w:cs="宋体"/>
                <w:color w:val="auto"/>
                <w:szCs w:val="21"/>
                <w:highlight w:val="none"/>
              </w:rPr>
              <w:t>服务承诺</w:t>
            </w:r>
          </w:p>
        </w:tc>
        <w:tc>
          <w:tcPr>
            <w:tcW w:w="850" w:type="dxa"/>
            <w:vAlign w:val="center"/>
          </w:tcPr>
          <w:p>
            <w:pPr>
              <w:snapToGrid w:val="0"/>
              <w:jc w:val="left"/>
              <w:outlineLvl w:val="2"/>
              <w:rPr>
                <w:rFonts w:hint="eastAsia" w:hAnsi="宋体" w:cs="宋体"/>
                <w:color w:val="auto"/>
                <w:szCs w:val="21"/>
                <w:highlight w:val="none"/>
              </w:rPr>
            </w:pPr>
            <w:r>
              <w:rPr>
                <w:rFonts w:hint="eastAsia" w:hAnsi="宋体" w:cs="宋体"/>
                <w:color w:val="auto"/>
                <w:szCs w:val="21"/>
                <w:highlight w:val="none"/>
              </w:rPr>
              <w:t>5</w:t>
            </w:r>
          </w:p>
        </w:tc>
        <w:tc>
          <w:tcPr>
            <w:tcW w:w="6315" w:type="dxa"/>
            <w:vAlign w:val="center"/>
          </w:tcPr>
          <w:p>
            <w:pPr>
              <w:snapToGrid w:val="0"/>
              <w:jc w:val="left"/>
              <w:outlineLvl w:val="2"/>
              <w:rPr>
                <w:rFonts w:hint="eastAsia" w:hAnsi="宋体" w:cs="宋体"/>
                <w:color w:val="auto"/>
                <w:szCs w:val="21"/>
                <w:highlight w:val="none"/>
              </w:rPr>
            </w:pPr>
            <w:r>
              <w:rPr>
                <w:rFonts w:hint="eastAsia" w:hAnsi="宋体" w:cs="宋体"/>
                <w:color w:val="auto"/>
                <w:szCs w:val="21"/>
                <w:highlight w:val="none"/>
              </w:rPr>
              <w:t xml:space="preserve">（1）供应商承诺展会期间提供全程驻场服务的，提供承诺 书得3分，否则不计分。 </w:t>
            </w:r>
          </w:p>
          <w:p>
            <w:pPr>
              <w:snapToGrid w:val="0"/>
              <w:jc w:val="left"/>
              <w:outlineLvl w:val="2"/>
              <w:rPr>
                <w:rFonts w:hint="eastAsia" w:hAnsi="宋体" w:cs="宋体"/>
                <w:color w:val="auto"/>
                <w:szCs w:val="21"/>
                <w:highlight w:val="none"/>
              </w:rPr>
            </w:pPr>
            <w:r>
              <w:rPr>
                <w:rFonts w:hint="eastAsia" w:hAnsi="宋体" w:cs="宋体"/>
                <w:color w:val="auto"/>
                <w:szCs w:val="21"/>
                <w:highlight w:val="none"/>
              </w:rPr>
              <w:t>（2）供应商承诺展会结束完成撤展工作，提供承诺书得 2分，否则不得分。</w:t>
            </w:r>
          </w:p>
        </w:tc>
      </w:tr>
    </w:tbl>
    <w:p>
      <w:pPr>
        <w:jc w:val="left"/>
        <w:rPr>
          <w:color w:val="auto"/>
          <w:highlight w:val="none"/>
        </w:rPr>
      </w:pPr>
    </w:p>
    <w:p>
      <w:pPr>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（二）报价分：（20分）</w:t>
      </w:r>
    </w:p>
    <w:p>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1.最高限价：40万元，报价超过对应最高限价做无效标处理。</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2.满足磋商文件要求且最后报价最低的供应商的价格为磋商基准价，其报价分为满分。其他供应商的报价分统一按照下列公式计算：</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报价分 =（磋商基准价/最后磋商报价）×20%×100。</w:t>
      </w:r>
    </w:p>
    <w:p>
      <w:pPr>
        <w:snapToGrid w:val="0"/>
        <w:spacing w:line="480" w:lineRule="exact"/>
        <w:outlineLvl w:val="1"/>
        <w:rPr>
          <w:rFonts w:hint="eastAsia" w:hAnsi="宋体" w:cs="宋体"/>
          <w:b/>
          <w:color w:val="auto"/>
          <w:sz w:val="24"/>
          <w:szCs w:val="24"/>
          <w:highlight w:val="none"/>
        </w:rPr>
      </w:pPr>
      <w:r>
        <w:rPr>
          <w:rFonts w:hint="eastAsia" w:hAnsi="宋体" w:cs="宋体"/>
          <w:b/>
          <w:color w:val="auto"/>
          <w:sz w:val="24"/>
          <w:szCs w:val="24"/>
          <w:highlight w:val="none"/>
        </w:rPr>
        <w:t>六、出现下列情形之一的，作无效标处理</w:t>
      </w:r>
    </w:p>
    <w:p>
      <w:pPr>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1.响应文件未按规定要求密封、签署、盖章及主要资料不齐全的；</w:t>
      </w:r>
    </w:p>
    <w:p>
      <w:pPr>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2.响应文件的资料有虚报或者谎报的；</w:t>
      </w:r>
    </w:p>
    <w:p>
      <w:pPr>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3.响应文件中资格审查文件及商务技术响应文件出现磋商报价的内容；</w:t>
      </w:r>
    </w:p>
    <w:p>
      <w:pPr>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4.不具备磋商文件规定的资格要求的；</w:t>
      </w:r>
    </w:p>
    <w:p>
      <w:pPr>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5.响应文件有重大漏项或重大不合理的；</w:t>
      </w:r>
    </w:p>
    <w:p>
      <w:pPr>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6.项目技术、方案不满足项目需求中的要求，有重大偏离或保留的；</w:t>
      </w:r>
    </w:p>
    <w:p>
      <w:pPr>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w:t>
      </w:r>
      <w:r>
        <w:rPr>
          <w:rStyle w:val="58"/>
          <w:rFonts w:hint="eastAsia" w:ascii="宋体" w:hAnsi="宋体" w:cs="宋体"/>
          <w:color w:val="auto"/>
          <w:sz w:val="24"/>
          <w:szCs w:val="24"/>
          <w:highlight w:val="none"/>
        </w:rPr>
        <w:t>供应商的商务技术部分得分相差悬殊，磋商小组一致认为得分畸低者没有实质性响应的；</w:t>
      </w:r>
    </w:p>
    <w:p>
      <w:pPr>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8.磋商响应报价超出项目预算的；</w:t>
      </w:r>
    </w:p>
    <w:p>
      <w:pPr>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9.被认定为低于成本报价磋商竞标的；</w:t>
      </w:r>
    </w:p>
    <w:p>
      <w:pPr>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10.供应商的磋商报价高于自己前一轮的；</w:t>
      </w:r>
    </w:p>
    <w:p>
      <w:pPr>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11.不符合法律、法规和磋商文件中规定的其他实质性响应要求的；</w:t>
      </w:r>
    </w:p>
    <w:p>
      <w:pPr>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12.磋商小组依据法律法规可以认定为无效响应的其他情况。</w:t>
      </w:r>
    </w:p>
    <w:p>
      <w:pPr>
        <w:snapToGrid w:val="0"/>
        <w:spacing w:line="480" w:lineRule="exact"/>
        <w:outlineLvl w:val="1"/>
        <w:rPr>
          <w:rFonts w:hint="eastAsia" w:hAnsi="宋体" w:cs="宋体"/>
          <w:b/>
          <w:color w:val="auto"/>
          <w:sz w:val="24"/>
          <w:szCs w:val="24"/>
          <w:highlight w:val="none"/>
        </w:rPr>
      </w:pPr>
      <w:r>
        <w:rPr>
          <w:rFonts w:hint="eastAsia" w:hAnsi="宋体" w:cs="宋体"/>
          <w:b/>
          <w:color w:val="auto"/>
          <w:sz w:val="24"/>
          <w:szCs w:val="24"/>
          <w:highlight w:val="none"/>
        </w:rPr>
        <w:t>七、出现下列情形之一的，作废标处理</w:t>
      </w:r>
    </w:p>
    <w:p>
      <w:pPr>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1.除第四章第二条第16点规定的情形外，在采购过程中符合要求的供应商或者最后报价未超过采购预算的供应商不足3家的；</w:t>
      </w:r>
    </w:p>
    <w:p>
      <w:pPr>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2.供应商的报价均超出了采购预算，采购单位不能支付的；</w:t>
      </w:r>
    </w:p>
    <w:p>
      <w:pPr>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3.因情况变化，不再符合规定的竞争性磋商采购方式所适用情形的；</w:t>
      </w:r>
    </w:p>
    <w:p>
      <w:pPr>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4.出现影响采购公正的违法、违规行为的；</w:t>
      </w:r>
    </w:p>
    <w:p>
      <w:pPr>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5.因重大变故，采购任务取消的；</w:t>
      </w:r>
    </w:p>
    <w:p>
      <w:pPr>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6.磋商小组依据法律法规可以认定为废标的其他情况。</w:t>
      </w:r>
    </w:p>
    <w:p>
      <w:pPr>
        <w:snapToGrid w:val="0"/>
        <w:spacing w:line="480" w:lineRule="exact"/>
        <w:outlineLvl w:val="1"/>
        <w:rPr>
          <w:rFonts w:hint="eastAsia" w:hAnsi="宋体" w:cs="宋体"/>
          <w:b/>
          <w:color w:val="auto"/>
          <w:sz w:val="24"/>
          <w:szCs w:val="24"/>
          <w:highlight w:val="none"/>
        </w:rPr>
      </w:pPr>
      <w:r>
        <w:rPr>
          <w:rFonts w:hint="eastAsia" w:hAnsi="宋体" w:cs="宋体"/>
          <w:b/>
          <w:color w:val="auto"/>
          <w:sz w:val="24"/>
          <w:szCs w:val="24"/>
          <w:highlight w:val="none"/>
        </w:rPr>
        <w:t>八、成交通知</w:t>
      </w:r>
    </w:p>
    <w:p>
      <w:pPr>
        <w:spacing w:line="480" w:lineRule="exact"/>
        <w:ind w:firstLine="484" w:firstLineChars="202"/>
        <w:rPr>
          <w:rFonts w:hint="eastAsia" w:hAnsi="宋体" w:cs="宋体"/>
          <w:color w:val="auto"/>
          <w:kern w:val="0"/>
          <w:sz w:val="24"/>
          <w:szCs w:val="24"/>
          <w:highlight w:val="none"/>
        </w:rPr>
      </w:pPr>
      <w:r>
        <w:rPr>
          <w:rFonts w:hint="eastAsia" w:hAnsi="宋体" w:cs="宋体"/>
          <w:color w:val="auto"/>
          <w:kern w:val="0"/>
          <w:sz w:val="24"/>
          <w:szCs w:val="24"/>
          <w:highlight w:val="none"/>
        </w:rPr>
        <w:t>成交结果在</w:t>
      </w:r>
      <w:r>
        <w:rPr>
          <w:rFonts w:hint="eastAsia" w:hAnsi="宋体" w:cs="宋体"/>
          <w:color w:val="auto"/>
          <w:sz w:val="24"/>
          <w:szCs w:val="24"/>
          <w:highlight w:val="none"/>
        </w:rPr>
        <w:t>“南通市公共资源交易网”公示1个工作日。《成交通知书》一经发出，采购单位改变成交结果，或者成交供应商放弃成交</w:t>
      </w:r>
      <w:r>
        <w:rPr>
          <w:rFonts w:hint="eastAsia" w:hAnsi="宋体" w:cs="宋体"/>
          <w:color w:val="auto"/>
          <w:kern w:val="0"/>
          <w:sz w:val="24"/>
          <w:szCs w:val="24"/>
          <w:highlight w:val="none"/>
        </w:rPr>
        <w:t>的，各自承担相应的法律责任。《成交通知书》是采购合同的组成部分。</w:t>
      </w:r>
    </w:p>
    <w:p>
      <w:pPr>
        <w:pStyle w:val="13"/>
        <w:tabs>
          <w:tab w:val="left" w:pos="1050"/>
          <w:tab w:val="right" w:leader="dot" w:pos="9402"/>
        </w:tabs>
        <w:spacing w:line="520" w:lineRule="exact"/>
        <w:ind w:left="0" w:leftChars="0"/>
        <w:jc w:val="center"/>
        <w:outlineLvl w:val="0"/>
        <w:rPr>
          <w:rFonts w:hint="eastAsia" w:hAnsi="宋体" w:cs="宋体"/>
          <w:b/>
          <w:iCs/>
          <w:color w:val="auto"/>
          <w:w w:val="80"/>
          <w:sz w:val="44"/>
          <w:szCs w:val="44"/>
          <w:highlight w:val="none"/>
        </w:rPr>
      </w:pPr>
      <w:r>
        <w:rPr>
          <w:rFonts w:hint="eastAsia" w:hAnsi="宋体"/>
          <w:b/>
          <w:color w:val="auto"/>
          <w:w w:val="80"/>
          <w:kern w:val="44"/>
          <w:sz w:val="44"/>
          <w:szCs w:val="44"/>
          <w:highlight w:val="none"/>
        </w:rPr>
        <w:br w:type="page"/>
      </w:r>
      <w:r>
        <w:rPr>
          <w:rFonts w:hint="eastAsia" w:hAnsi="宋体" w:cs="宋体"/>
          <w:b/>
          <w:iCs/>
          <w:color w:val="auto"/>
          <w:w w:val="80"/>
          <w:sz w:val="44"/>
          <w:szCs w:val="44"/>
          <w:highlight w:val="none"/>
        </w:rPr>
        <w:t>第五章   合同授予</w:t>
      </w:r>
    </w:p>
    <w:p>
      <w:pPr>
        <w:spacing w:line="520" w:lineRule="exact"/>
        <w:ind w:firstLine="484" w:firstLineChars="202"/>
        <w:rPr>
          <w:rFonts w:hint="eastAsia" w:hAnsi="宋体" w:cs="宋体"/>
          <w:color w:val="auto"/>
          <w:kern w:val="0"/>
          <w:sz w:val="28"/>
          <w:szCs w:val="28"/>
          <w:highlight w:val="none"/>
        </w:rPr>
      </w:pPr>
      <w:r>
        <w:rPr>
          <w:rFonts w:hint="eastAsia" w:hAnsi="宋体" w:cs="宋体"/>
          <w:color w:val="auto"/>
          <w:sz w:val="24"/>
          <w:szCs w:val="24"/>
          <w:highlight w:val="none"/>
        </w:rPr>
        <w:t>一、</w:t>
      </w:r>
      <w:r>
        <w:rPr>
          <w:rFonts w:hint="eastAsia" w:hAnsi="宋体" w:cs="宋体"/>
          <w:color w:val="auto"/>
          <w:kern w:val="0"/>
          <w:sz w:val="24"/>
          <w:szCs w:val="24"/>
          <w:highlight w:val="none"/>
        </w:rPr>
        <w:t xml:space="preserve">成交供应商在《成交通知书》发出30天内须按照磋商文件确定的事项签订采购合同。合同一式四份，采购单位及成交供应商双方各两份。所签合同不得对磋商文件作实质性修改。采购单位不得向成交供应商提出不合理的要求作为签订合同的条件，不得与成交供应商私下订立背离磋商文件实质性内容的协议。 </w:t>
      </w:r>
    </w:p>
    <w:p>
      <w:pPr>
        <w:snapToGrid w:val="0"/>
        <w:spacing w:line="480" w:lineRule="exact"/>
        <w:ind w:firstLine="573"/>
        <w:rPr>
          <w:rFonts w:hint="eastAsia" w:hAnsi="宋体" w:cs="宋体"/>
          <w:color w:val="auto"/>
          <w:sz w:val="24"/>
          <w:szCs w:val="24"/>
          <w:highlight w:val="none"/>
        </w:rPr>
      </w:pPr>
      <w:r>
        <w:rPr>
          <w:rFonts w:hint="eastAsia" w:hAnsi="宋体" w:cs="宋体"/>
          <w:color w:val="auto"/>
          <w:sz w:val="24"/>
          <w:szCs w:val="24"/>
          <w:highlight w:val="none"/>
        </w:rPr>
        <w:t>二、采购单位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pPr>
        <w:snapToGrid w:val="0"/>
        <w:spacing w:line="480" w:lineRule="exact"/>
        <w:ind w:firstLine="573"/>
        <w:rPr>
          <w:rFonts w:hint="eastAsia" w:hAnsi="宋体" w:cs="宋体"/>
          <w:color w:val="auto"/>
          <w:sz w:val="24"/>
          <w:szCs w:val="24"/>
          <w:highlight w:val="none"/>
        </w:rPr>
      </w:pPr>
      <w:r>
        <w:rPr>
          <w:rFonts w:hint="eastAsia" w:hAnsi="宋体" w:cs="宋体"/>
          <w:color w:val="auto"/>
          <w:sz w:val="24"/>
          <w:szCs w:val="24"/>
          <w:highlight w:val="none"/>
        </w:rPr>
        <w:t>三、成交供应商出现违约情形，应当及时纠正或补偿；造成损失的，按合同约定追究违约责任；发现有假冒、伪劣、走私产品、商业贿赂等违法情形的，应由采购单位移交工商、质监、公安等行政执法部门依法查处。</w:t>
      </w:r>
    </w:p>
    <w:p>
      <w:pPr>
        <w:snapToGrid w:val="0"/>
        <w:spacing w:line="480" w:lineRule="exact"/>
        <w:ind w:firstLine="573"/>
        <w:rPr>
          <w:rFonts w:hint="eastAsia" w:hAnsi="宋体" w:cs="宋体"/>
          <w:color w:val="auto"/>
          <w:sz w:val="24"/>
          <w:szCs w:val="24"/>
          <w:highlight w:val="none"/>
        </w:rPr>
      </w:pPr>
      <w:r>
        <w:rPr>
          <w:rFonts w:hint="eastAsia" w:hAnsi="宋体" w:cs="宋体"/>
          <w:color w:val="auto"/>
          <w:sz w:val="24"/>
          <w:szCs w:val="24"/>
          <w:highlight w:val="none"/>
        </w:rPr>
        <w:t>四、按采购合同约定支付的合同款。</w:t>
      </w:r>
    </w:p>
    <w:p>
      <w:pPr>
        <w:snapToGrid w:val="0"/>
        <w:spacing w:line="480" w:lineRule="exact"/>
        <w:ind w:firstLine="573"/>
        <w:rPr>
          <w:rFonts w:hint="eastAsia" w:hAnsi="宋体" w:cs="宋体"/>
          <w:color w:val="auto"/>
          <w:sz w:val="24"/>
          <w:szCs w:val="24"/>
          <w:highlight w:val="none"/>
        </w:rPr>
      </w:pPr>
      <w:r>
        <w:rPr>
          <w:rFonts w:hint="eastAsia" w:hAnsi="宋体" w:cs="宋体"/>
          <w:color w:val="auto"/>
          <w:sz w:val="24"/>
          <w:szCs w:val="24"/>
          <w:highlight w:val="none"/>
        </w:rPr>
        <w:t>五、不响应付款方式的，视同响应文件无效，按无效响应文件处理。</w:t>
      </w:r>
    </w:p>
    <w:p>
      <w:pPr>
        <w:snapToGrid w:val="0"/>
        <w:spacing w:line="480" w:lineRule="exact"/>
        <w:ind w:firstLine="573"/>
        <w:rPr>
          <w:rFonts w:hint="eastAsia" w:hAnsi="宋体" w:cs="宋体"/>
          <w:color w:val="auto"/>
          <w:sz w:val="24"/>
          <w:szCs w:val="24"/>
          <w:highlight w:val="none"/>
        </w:rPr>
      </w:pPr>
      <w:r>
        <w:rPr>
          <w:rFonts w:hint="eastAsia" w:hAnsi="宋体" w:cs="宋体"/>
          <w:color w:val="auto"/>
          <w:sz w:val="24"/>
          <w:szCs w:val="24"/>
          <w:highlight w:val="none"/>
        </w:rPr>
        <w:t>六、付款方式详见磋商文件第三章。</w:t>
      </w:r>
    </w:p>
    <w:p>
      <w:pPr>
        <w:snapToGrid w:val="0"/>
        <w:spacing w:line="480" w:lineRule="exact"/>
        <w:ind w:firstLine="573"/>
        <w:rPr>
          <w:rFonts w:hint="eastAsia" w:hAnsi="宋体" w:cs="宋体"/>
          <w:color w:val="auto"/>
          <w:sz w:val="24"/>
          <w:szCs w:val="24"/>
          <w:highlight w:val="none"/>
        </w:rPr>
      </w:pPr>
      <w:r>
        <w:rPr>
          <w:rFonts w:hint="eastAsia" w:hAnsi="宋体" w:cs="宋体"/>
          <w:color w:val="auto"/>
          <w:sz w:val="24"/>
          <w:szCs w:val="24"/>
          <w:highlight w:val="none"/>
        </w:rPr>
        <w:t>七、以上项目款的支付不计息。</w:t>
      </w:r>
    </w:p>
    <w:p>
      <w:pPr>
        <w:snapToGrid w:val="0"/>
        <w:spacing w:line="520" w:lineRule="exact"/>
        <w:ind w:firstLine="573"/>
        <w:jc w:val="center"/>
        <w:rPr>
          <w:rFonts w:hint="eastAsia" w:hAnsi="宋体" w:cs="宋体"/>
          <w:color w:val="auto"/>
          <w:kern w:val="0"/>
          <w:sz w:val="28"/>
          <w:szCs w:val="28"/>
          <w:highlight w:val="none"/>
        </w:rPr>
      </w:pPr>
    </w:p>
    <w:p>
      <w:pPr>
        <w:snapToGrid w:val="0"/>
        <w:spacing w:line="520" w:lineRule="exact"/>
        <w:ind w:firstLine="573"/>
        <w:jc w:val="center"/>
        <w:rPr>
          <w:rFonts w:hint="eastAsia" w:hAnsi="宋体"/>
          <w:b/>
          <w:color w:val="auto"/>
          <w:w w:val="80"/>
          <w:kern w:val="44"/>
          <w:sz w:val="44"/>
          <w:szCs w:val="44"/>
          <w:highlight w:val="none"/>
        </w:rPr>
      </w:pPr>
    </w:p>
    <w:p>
      <w:pPr>
        <w:snapToGrid w:val="0"/>
        <w:spacing w:line="520" w:lineRule="exact"/>
        <w:ind w:firstLine="573"/>
        <w:jc w:val="center"/>
        <w:rPr>
          <w:rFonts w:hint="eastAsia" w:hAnsi="宋体"/>
          <w:b/>
          <w:color w:val="auto"/>
          <w:w w:val="80"/>
          <w:kern w:val="44"/>
          <w:sz w:val="44"/>
          <w:szCs w:val="44"/>
          <w:highlight w:val="none"/>
        </w:rPr>
      </w:pPr>
    </w:p>
    <w:p>
      <w:pPr>
        <w:snapToGrid w:val="0"/>
        <w:spacing w:line="520" w:lineRule="exact"/>
        <w:ind w:firstLine="573"/>
        <w:jc w:val="center"/>
        <w:rPr>
          <w:rFonts w:hint="eastAsia" w:hAnsi="宋体"/>
          <w:b/>
          <w:color w:val="auto"/>
          <w:w w:val="80"/>
          <w:kern w:val="44"/>
          <w:sz w:val="44"/>
          <w:szCs w:val="44"/>
          <w:highlight w:val="none"/>
        </w:rPr>
      </w:pPr>
    </w:p>
    <w:p>
      <w:pPr>
        <w:snapToGrid w:val="0"/>
        <w:spacing w:line="520" w:lineRule="exact"/>
        <w:ind w:firstLine="573"/>
        <w:jc w:val="center"/>
        <w:rPr>
          <w:rFonts w:hint="eastAsia" w:hAnsi="宋体"/>
          <w:b/>
          <w:color w:val="auto"/>
          <w:w w:val="80"/>
          <w:kern w:val="44"/>
          <w:sz w:val="44"/>
          <w:szCs w:val="44"/>
          <w:highlight w:val="none"/>
        </w:rPr>
      </w:pPr>
    </w:p>
    <w:p>
      <w:pPr>
        <w:snapToGrid w:val="0"/>
        <w:spacing w:line="520" w:lineRule="exact"/>
        <w:ind w:firstLine="573"/>
        <w:jc w:val="center"/>
        <w:rPr>
          <w:rFonts w:hint="eastAsia" w:hAnsi="宋体"/>
          <w:b/>
          <w:color w:val="auto"/>
          <w:w w:val="80"/>
          <w:kern w:val="44"/>
          <w:sz w:val="44"/>
          <w:szCs w:val="44"/>
          <w:highlight w:val="none"/>
        </w:rPr>
      </w:pPr>
    </w:p>
    <w:p>
      <w:pPr>
        <w:snapToGrid w:val="0"/>
        <w:spacing w:line="520" w:lineRule="exact"/>
        <w:ind w:firstLine="573"/>
        <w:jc w:val="center"/>
        <w:rPr>
          <w:rFonts w:hint="eastAsia" w:hAnsi="宋体"/>
          <w:b/>
          <w:color w:val="auto"/>
          <w:w w:val="80"/>
          <w:kern w:val="44"/>
          <w:sz w:val="44"/>
          <w:szCs w:val="44"/>
          <w:highlight w:val="none"/>
        </w:rPr>
      </w:pPr>
    </w:p>
    <w:p>
      <w:pPr>
        <w:snapToGrid w:val="0"/>
        <w:spacing w:line="520" w:lineRule="exact"/>
        <w:ind w:firstLine="573"/>
        <w:jc w:val="center"/>
        <w:rPr>
          <w:rFonts w:hint="eastAsia" w:hAnsi="宋体"/>
          <w:b/>
          <w:color w:val="auto"/>
          <w:w w:val="80"/>
          <w:kern w:val="44"/>
          <w:sz w:val="44"/>
          <w:szCs w:val="44"/>
          <w:highlight w:val="none"/>
        </w:rPr>
      </w:pPr>
    </w:p>
    <w:p>
      <w:pPr>
        <w:pStyle w:val="13"/>
        <w:tabs>
          <w:tab w:val="left" w:pos="1050"/>
          <w:tab w:val="right" w:leader="dot" w:pos="9402"/>
        </w:tabs>
        <w:spacing w:line="520" w:lineRule="exact"/>
        <w:ind w:left="0" w:leftChars="0"/>
        <w:jc w:val="center"/>
        <w:outlineLvl w:val="0"/>
        <w:rPr>
          <w:rFonts w:hint="eastAsia" w:hAnsi="宋体" w:cs="宋体"/>
          <w:b/>
          <w:iCs/>
          <w:color w:val="auto"/>
          <w:w w:val="80"/>
          <w:sz w:val="44"/>
          <w:szCs w:val="44"/>
          <w:highlight w:val="none"/>
        </w:rPr>
      </w:pPr>
      <w:r>
        <w:rPr>
          <w:rFonts w:hAnsi="宋体"/>
          <w:b/>
          <w:color w:val="auto"/>
          <w:w w:val="80"/>
          <w:kern w:val="44"/>
          <w:sz w:val="44"/>
          <w:szCs w:val="44"/>
          <w:highlight w:val="none"/>
        </w:rPr>
        <w:br w:type="page"/>
      </w:r>
      <w:r>
        <w:rPr>
          <w:rFonts w:hAnsi="宋体" w:cs="宋体"/>
          <w:b/>
          <w:iCs/>
          <w:color w:val="auto"/>
          <w:w w:val="80"/>
          <w:sz w:val="44"/>
          <w:szCs w:val="44"/>
          <w:highlight w:val="none"/>
        </w:rPr>
        <w:t>第</w:t>
      </w:r>
      <w:r>
        <w:rPr>
          <w:rFonts w:hint="eastAsia" w:hAnsi="宋体" w:cs="宋体"/>
          <w:b/>
          <w:iCs/>
          <w:color w:val="auto"/>
          <w:w w:val="80"/>
          <w:sz w:val="44"/>
          <w:szCs w:val="44"/>
          <w:highlight w:val="none"/>
        </w:rPr>
        <w:t>六</w:t>
      </w:r>
      <w:r>
        <w:rPr>
          <w:rFonts w:hAnsi="宋体" w:cs="宋体"/>
          <w:b/>
          <w:iCs/>
          <w:color w:val="auto"/>
          <w:w w:val="80"/>
          <w:sz w:val="44"/>
          <w:szCs w:val="44"/>
          <w:highlight w:val="none"/>
        </w:rPr>
        <w:t xml:space="preserve">章 </w:t>
      </w:r>
      <w:r>
        <w:rPr>
          <w:rFonts w:hint="eastAsia" w:hAnsi="宋体" w:cs="宋体"/>
          <w:b/>
          <w:iCs/>
          <w:color w:val="auto"/>
          <w:w w:val="80"/>
          <w:sz w:val="44"/>
          <w:szCs w:val="44"/>
          <w:highlight w:val="none"/>
        </w:rPr>
        <w:t xml:space="preserve"> 质疑提出和处理</w:t>
      </w:r>
    </w:p>
    <w:p>
      <w:pPr>
        <w:adjustRightInd w:val="0"/>
        <w:snapToGrid w:val="0"/>
        <w:spacing w:line="480" w:lineRule="exact"/>
        <w:ind w:firstLine="480" w:firstLineChars="200"/>
        <w:outlineLvl w:val="1"/>
        <w:rPr>
          <w:rFonts w:hint="eastAsia" w:hAnsi="宋体" w:cs="宋体"/>
          <w:color w:val="auto"/>
          <w:sz w:val="24"/>
          <w:szCs w:val="24"/>
          <w:highlight w:val="none"/>
        </w:rPr>
      </w:pPr>
      <w:r>
        <w:rPr>
          <w:rFonts w:hint="eastAsia" w:hAnsi="宋体" w:cs="宋体"/>
          <w:color w:val="auto"/>
          <w:sz w:val="24"/>
          <w:szCs w:val="24"/>
          <w:highlight w:val="none"/>
        </w:rPr>
        <w:t>一、质疑的提出</w:t>
      </w:r>
    </w:p>
    <w:p>
      <w:pPr>
        <w:adjustRightInd w:val="0"/>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1.质疑人必须是直接参加本次磋商活动的当事人。</w:t>
      </w:r>
    </w:p>
    <w:p>
      <w:pPr>
        <w:adjustRightInd w:val="0"/>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 xml:space="preserve">2.获取磋商文件的供应商应根据第二章“供应商须知”中第一条第4款的约定提出；响应文件接收截止后，供应商未进行磋商登记的，不能就响应文件接收截止后的招投标过程、成交结果提出质疑；在磋商过程中，凡主持人或评审小组明确提出须由供应商确认的事项，供应商当场无异议的，事后不得提出质疑。  </w:t>
      </w:r>
    </w:p>
    <w:p>
      <w:pPr>
        <w:adjustRightInd w:val="0"/>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提出质疑时，必须坚持“谁主张，谁举证”“实事求是”的原则，不能臆测。属于须由法定部门调查、侦查或先行作出相关认定的事项，质疑人应当依法申请具有法定职权的部门查清、认定，并将相关结果提供给采购单位或采购代理机构。采购单位或采购代理机构不具有法定调查、认定权限。</w:t>
      </w:r>
    </w:p>
    <w:p>
      <w:pPr>
        <w:adjustRightInd w:val="0"/>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4.对本次磋商有质疑的，实行实名制，不得进行虚假、恶意质疑。质疑人应在质疑有效期内以书面形式提出《质疑函》，《质疑函》内容应包括质疑事项、主要内容、事实依据、适应法规条款、佐证材料等。同时，质疑人应保证其提出的质疑内容及相关佐证材料的真实性及来源的合法性，并承担相应的法律责任。</w:t>
      </w:r>
    </w:p>
    <w:p>
      <w:pPr>
        <w:adjustRightInd w:val="0"/>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对不能提供相关佐证材料的、涉及商业秘密的、非书面形式的、非送达的、匿名的《质疑函》将不予受理。</w:t>
      </w:r>
    </w:p>
    <w:p>
      <w:pPr>
        <w:adjustRightInd w:val="0"/>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相关佐证材料要具备客观性、关联性、合法性，无法查实的（如宣传册、媒体报道、猜测、推理等）不能作为佐证材料。</w:t>
      </w:r>
    </w:p>
    <w:p>
      <w:pPr>
        <w:adjustRightInd w:val="0"/>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采购单位或采购代理机构不负责搜集相关佐证材料等工作。</w:t>
      </w:r>
    </w:p>
    <w:p>
      <w:pPr>
        <w:adjustRightInd w:val="0"/>
        <w:snapToGrid w:val="0"/>
        <w:spacing w:line="480" w:lineRule="exact"/>
        <w:ind w:firstLine="480" w:firstLineChars="200"/>
        <w:outlineLvl w:val="1"/>
        <w:rPr>
          <w:rFonts w:hint="eastAsia" w:hAnsi="宋体" w:cs="宋体"/>
          <w:color w:val="auto"/>
          <w:sz w:val="24"/>
          <w:szCs w:val="24"/>
          <w:highlight w:val="none"/>
        </w:rPr>
      </w:pPr>
      <w:r>
        <w:rPr>
          <w:rFonts w:hint="eastAsia" w:hAnsi="宋体" w:cs="宋体"/>
          <w:color w:val="auto"/>
          <w:sz w:val="24"/>
          <w:szCs w:val="24"/>
          <w:highlight w:val="none"/>
        </w:rPr>
        <w:t>二、《质疑函》的受理和回复</w:t>
      </w:r>
    </w:p>
    <w:p>
      <w:pPr>
        <w:adjustRightInd w:val="0"/>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1.《质疑函》须由质疑人的法定代表人或参加本次磋商被授权人送达采购单位和采购代理机构。</w:t>
      </w:r>
    </w:p>
    <w:p>
      <w:pPr>
        <w:adjustRightInd w:val="0"/>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对符合提出质疑要求的，采购单位、采购代理机构签收并出具《质疑受理通知书》。在处理过程中，发现需要质疑人进一步补充相关佐证材料的，请质疑人在规定的时间内提供，质疑回复时间相应顺延。质疑人不能按时提供相关佐证材料的，视同放弃质疑。</w:t>
      </w:r>
    </w:p>
    <w:p>
      <w:pPr>
        <w:adjustRightInd w:val="0"/>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3.对不符合提出质疑要求的，出具《质疑退回通知书》并提出相关补充材料要求，质疑人未在规定的时间内提供补充佐证材料的，视同放弃质疑。</w:t>
      </w:r>
    </w:p>
    <w:p>
      <w:pPr>
        <w:adjustRightInd w:val="0"/>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4.采购单位、采购代理机构负责将质疑人提出的质疑相关材料提供给相关专家或评审小组审核，并将审核意见回复质疑人。</w:t>
      </w:r>
    </w:p>
    <w:p>
      <w:pPr>
        <w:adjustRightInd w:val="0"/>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pPr>
        <w:adjustRightInd w:val="0"/>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5.因质疑情况复杂，组织论证或审查时间较长的，采购单位、采购代理机构以书面形式通知质疑人，可适当延长质疑回复处理时间。</w:t>
      </w:r>
    </w:p>
    <w:p>
      <w:pPr>
        <w:adjustRightInd w:val="0"/>
        <w:snapToGrid w:val="0"/>
        <w:spacing w:line="480" w:lineRule="exact"/>
        <w:ind w:firstLine="480" w:firstLineChars="200"/>
        <w:outlineLvl w:val="1"/>
        <w:rPr>
          <w:rFonts w:hint="eastAsia" w:hAnsi="宋体" w:cs="宋体"/>
          <w:color w:val="auto"/>
          <w:sz w:val="24"/>
          <w:szCs w:val="24"/>
          <w:highlight w:val="none"/>
        </w:rPr>
      </w:pPr>
      <w:r>
        <w:rPr>
          <w:rFonts w:hint="eastAsia" w:hAnsi="宋体" w:cs="宋体"/>
          <w:color w:val="auto"/>
          <w:sz w:val="24"/>
          <w:szCs w:val="24"/>
          <w:highlight w:val="none"/>
        </w:rPr>
        <w:t>三、质疑处理</w:t>
      </w:r>
    </w:p>
    <w:p>
      <w:pPr>
        <w:adjustRightInd w:val="0"/>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1.质疑成立的处理。采购单位或采购代理机构终止采购，并建议有关部门给相关当事人予以处理。</w:t>
      </w:r>
    </w:p>
    <w:p>
      <w:pPr>
        <w:adjustRightInd w:val="0"/>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2.质疑不成立的处理。</w:t>
      </w:r>
    </w:p>
    <w:p>
      <w:pPr>
        <w:adjustRightInd w:val="0"/>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1）质疑人书面《申请撤回质疑函》的，不作违约处理。</w:t>
      </w:r>
    </w:p>
    <w:p>
      <w:pPr>
        <w:adjustRightInd w:val="0"/>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2）质疑人在规定的时间内不配合进行质疑调查处理的，按自动撤回《质疑函》处理。</w:t>
      </w:r>
    </w:p>
    <w:p>
      <w:pPr>
        <w:adjustRightInd w:val="0"/>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3）质疑人不按《质疑函》格式就提出质疑的，作违约处理。同时，视情列入不良供应商名单。</w:t>
      </w:r>
    </w:p>
    <w:p>
      <w:pPr>
        <w:adjustRightInd w:val="0"/>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4）质疑人虽提供了相关佐证材料，但不能证明其质疑成立的，采购单位或采购代理机构请质疑人补充相关佐证材料，仍不能证明其质疑成立的，作违约处理。并将其列入不良供应商名单。</w:t>
      </w:r>
    </w:p>
    <w:p>
      <w:pPr>
        <w:adjustRightInd w:val="0"/>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5）质疑人不能提供相关佐证材料的，采购单位、采购代理机构已指出，质疑人仍然坚持提出质疑的，作违约处理。同时，列入不良供应商名单。</w:t>
      </w:r>
    </w:p>
    <w:p>
      <w:pPr>
        <w:adjustRightInd w:val="0"/>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6）对明显有违事实的、经相关专家或评审小组认定无依据的、经其他供应商举证无依据的质疑，作违约处理，列入不良供应商名单；同时，对其中每一项不成立的质疑给予质疑人1年内禁入本区域内的采购活动的违约处理，依次类推；视情在相关媒体予以披露。</w:t>
      </w:r>
    </w:p>
    <w:p>
      <w:pPr>
        <w:adjustRightInd w:val="0"/>
        <w:snapToGrid w:val="0"/>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7）质疑人承担使用虚假材料或恶意方式质疑的法律责任。</w:t>
      </w:r>
    </w:p>
    <w:p>
      <w:pPr>
        <w:adjustRightInd w:val="0"/>
        <w:snapToGrid w:val="0"/>
        <w:spacing w:line="480" w:lineRule="exact"/>
        <w:ind w:firstLine="480" w:firstLineChars="200"/>
        <w:outlineLvl w:val="1"/>
        <w:rPr>
          <w:rFonts w:hint="eastAsia" w:hAnsi="宋体" w:cs="宋体"/>
          <w:color w:val="auto"/>
          <w:sz w:val="24"/>
          <w:szCs w:val="24"/>
          <w:highlight w:val="none"/>
        </w:rPr>
      </w:pPr>
      <w:r>
        <w:rPr>
          <w:rFonts w:hint="eastAsia" w:hAnsi="宋体" w:cs="宋体"/>
          <w:color w:val="auto"/>
          <w:sz w:val="24"/>
          <w:szCs w:val="24"/>
          <w:highlight w:val="none"/>
        </w:rPr>
        <w:t>四、无佐证材料的举报作违约处理。供应商不得进行不提供相关佐证材料（含无法查实的如宣传册、媒体报道、猜测、推理等）向有关部门的举报，否则作违约处理。同时对其在1至3年内禁入由采购单位组织的采购活动的违约处理。</w:t>
      </w:r>
    </w:p>
    <w:p>
      <w:pPr>
        <w:adjustRightInd w:val="0"/>
        <w:snapToGrid w:val="0"/>
        <w:spacing w:line="480" w:lineRule="exact"/>
        <w:ind w:firstLine="480" w:firstLineChars="200"/>
        <w:outlineLvl w:val="1"/>
        <w:rPr>
          <w:rFonts w:hint="eastAsia" w:hAnsi="宋体" w:cs="宋体"/>
          <w:color w:val="auto"/>
          <w:sz w:val="24"/>
          <w:szCs w:val="24"/>
          <w:highlight w:val="none"/>
        </w:rPr>
      </w:pPr>
      <w:r>
        <w:rPr>
          <w:rFonts w:hint="eastAsia" w:hAnsi="宋体" w:cs="宋体"/>
          <w:color w:val="auto"/>
          <w:sz w:val="24"/>
          <w:szCs w:val="24"/>
          <w:highlight w:val="none"/>
        </w:rPr>
        <w:t>五、《质疑函》《质疑回复函》，质疑、举报、投诉不成立的等相关情况，视情在相关媒体予以披露。并建议相关机构对该供应商同步实施1至3年内禁入。</w:t>
      </w:r>
    </w:p>
    <w:p>
      <w:pPr>
        <w:adjustRightInd w:val="0"/>
        <w:snapToGrid w:val="0"/>
        <w:spacing w:line="480" w:lineRule="exact"/>
        <w:ind w:firstLine="480" w:firstLineChars="200"/>
        <w:outlineLvl w:val="1"/>
        <w:rPr>
          <w:rFonts w:hint="eastAsia" w:hAnsi="宋体" w:cs="宋体"/>
          <w:color w:val="auto"/>
          <w:sz w:val="24"/>
          <w:szCs w:val="24"/>
          <w:highlight w:val="none"/>
        </w:rPr>
      </w:pPr>
      <w:r>
        <w:rPr>
          <w:rFonts w:hint="eastAsia" w:hAnsi="宋体" w:cs="宋体"/>
          <w:color w:val="auto"/>
          <w:sz w:val="24"/>
          <w:szCs w:val="24"/>
          <w:highlight w:val="none"/>
        </w:rPr>
        <w:t>六、质疑供应商对采购单位或代理机构的答复不满意或者采购单位或代理机构未在规定的时间内作出答复的，可以在答复期满后15个工作日内向监督管理部门投诉。</w:t>
      </w:r>
    </w:p>
    <w:p>
      <w:pPr>
        <w:adjustRightInd w:val="0"/>
        <w:snapToGrid w:val="0"/>
        <w:spacing w:line="480" w:lineRule="exact"/>
        <w:ind w:firstLine="480" w:firstLineChars="200"/>
        <w:outlineLvl w:val="1"/>
        <w:rPr>
          <w:rFonts w:hint="eastAsia" w:hAnsi="宋体" w:cs="宋体"/>
          <w:color w:val="auto"/>
          <w:sz w:val="24"/>
          <w:szCs w:val="24"/>
          <w:highlight w:val="none"/>
        </w:rPr>
      </w:pPr>
      <w:r>
        <w:rPr>
          <w:rFonts w:hint="eastAsia" w:hAnsi="宋体" w:cs="宋体"/>
          <w:color w:val="auto"/>
          <w:sz w:val="24"/>
          <w:szCs w:val="24"/>
          <w:highlight w:val="none"/>
        </w:rPr>
        <w:t>七、投诉不成立的作违约处理。供应商进行质疑后，采购单位回复质疑不成立，供应商仍进行投诉的，并最终投诉不成立的，作违约处理。采购单位有权对其在1至3年内禁入由采购单位组织的采购活动的违约处理。</w:t>
      </w:r>
    </w:p>
    <w:p>
      <w:pPr>
        <w:pStyle w:val="4"/>
        <w:keepNext w:val="0"/>
        <w:keepLines w:val="0"/>
        <w:adjustRightInd w:val="0"/>
        <w:snapToGrid w:val="0"/>
        <w:spacing w:before="0" w:after="0" w:line="800" w:lineRule="exact"/>
        <w:jc w:val="center"/>
        <w:textAlignment w:val="baseline"/>
        <w:rPr>
          <w:rFonts w:hint="eastAsia" w:ascii="宋体" w:hAnsi="宋体" w:eastAsia="宋体"/>
          <w:color w:val="auto"/>
          <w:w w:val="80"/>
          <w:szCs w:val="44"/>
          <w:highlight w:val="none"/>
        </w:rPr>
      </w:pPr>
      <w:r>
        <w:rPr>
          <w:rFonts w:ascii="宋体" w:hAnsi="宋体" w:eastAsia="宋体"/>
          <w:color w:val="auto"/>
          <w:w w:val="80"/>
          <w:szCs w:val="44"/>
          <w:highlight w:val="none"/>
        </w:rPr>
        <w:br w:type="page"/>
      </w:r>
      <w:r>
        <w:rPr>
          <w:rFonts w:hint="eastAsia" w:ascii="宋体" w:hAnsi="宋体" w:eastAsia="宋体"/>
          <w:color w:val="auto"/>
          <w:w w:val="80"/>
          <w:szCs w:val="44"/>
          <w:highlight w:val="none"/>
        </w:rPr>
        <w:t>第七章  响应文件组成及格式</w:t>
      </w:r>
    </w:p>
    <w:p>
      <w:pPr>
        <w:adjustRightInd w:val="0"/>
        <w:snapToGrid w:val="0"/>
        <w:spacing w:line="440" w:lineRule="exact"/>
        <w:ind w:firstLine="426" w:firstLineChars="202"/>
        <w:jc w:val="left"/>
        <w:rPr>
          <w:rFonts w:hint="eastAsia" w:hAnsi="宋体" w:cs="宋体"/>
          <w:b/>
          <w:bCs/>
          <w:color w:val="auto"/>
          <w:szCs w:val="21"/>
          <w:highlight w:val="none"/>
        </w:rPr>
      </w:pPr>
      <w:r>
        <w:rPr>
          <w:rFonts w:hint="eastAsia" w:hAnsi="宋体" w:cs="宋体"/>
          <w:b/>
          <w:bCs/>
          <w:color w:val="auto"/>
          <w:szCs w:val="21"/>
          <w:highlight w:val="none"/>
        </w:rPr>
        <w:t xml:space="preserve">响应文件由资格审查文件、商务技术响应文件、报价响应文件、响应文件电子版四部分组成。本次竞争性磋商采用资格后审方式，供应商须将资格审查文件作为响应文件组成部分，按磋商文件要求装订密封后一起递交。 </w:t>
      </w:r>
    </w:p>
    <w:p>
      <w:pPr>
        <w:adjustRightInd w:val="0"/>
        <w:snapToGrid w:val="0"/>
        <w:spacing w:line="480" w:lineRule="exact"/>
        <w:ind w:firstLine="426" w:firstLineChars="202"/>
        <w:jc w:val="left"/>
        <w:outlineLvl w:val="1"/>
        <w:rPr>
          <w:rFonts w:hint="eastAsia" w:hAnsi="宋体" w:cs="宋体"/>
          <w:b/>
          <w:bCs/>
          <w:color w:val="auto"/>
          <w:szCs w:val="21"/>
          <w:highlight w:val="none"/>
        </w:rPr>
      </w:pPr>
      <w:r>
        <w:rPr>
          <w:rFonts w:hint="eastAsia" w:hAnsi="宋体" w:cs="宋体"/>
          <w:b/>
          <w:bCs/>
          <w:color w:val="auto"/>
          <w:szCs w:val="21"/>
          <w:highlight w:val="none"/>
        </w:rPr>
        <w:t>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pPr>
        <w:adjustRightInd w:val="0"/>
        <w:snapToGrid w:val="0"/>
        <w:spacing w:line="480" w:lineRule="exact"/>
        <w:ind w:firstLine="426" w:firstLineChars="202"/>
        <w:jc w:val="left"/>
        <w:outlineLvl w:val="1"/>
        <w:rPr>
          <w:rFonts w:hint="eastAsia" w:hAnsi="宋体" w:cs="宋体"/>
          <w:b/>
          <w:bCs/>
          <w:color w:val="auto"/>
          <w:szCs w:val="21"/>
          <w:highlight w:val="none"/>
        </w:rPr>
      </w:pPr>
      <w:r>
        <w:rPr>
          <w:rFonts w:hint="eastAsia" w:hAnsi="宋体" w:cs="宋体"/>
          <w:b/>
          <w:bCs/>
          <w:color w:val="auto"/>
          <w:szCs w:val="21"/>
          <w:highlight w:val="none"/>
        </w:rPr>
        <w:t>一、资格审查文件（单独密封）：</w:t>
      </w:r>
    </w:p>
    <w:p>
      <w:pPr>
        <w:spacing w:line="440" w:lineRule="exact"/>
        <w:ind w:firstLine="420" w:firstLineChars="200"/>
        <w:rPr>
          <w:rFonts w:hint="eastAsia" w:hAnsi="宋体" w:cs="宋体"/>
          <w:color w:val="auto"/>
          <w:szCs w:val="21"/>
          <w:highlight w:val="none"/>
        </w:rPr>
      </w:pPr>
      <w:r>
        <w:rPr>
          <w:rFonts w:hint="eastAsia" w:hAnsi="宋体" w:cs="宋体"/>
          <w:color w:val="auto"/>
          <w:szCs w:val="21"/>
          <w:highlight w:val="none"/>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提供相关证明材料或承诺函）。</w:t>
      </w:r>
    </w:p>
    <w:p>
      <w:pPr>
        <w:spacing w:line="440" w:lineRule="exact"/>
        <w:ind w:firstLine="420" w:firstLineChars="200"/>
        <w:rPr>
          <w:rFonts w:hint="eastAsia" w:hAnsi="宋体" w:cs="宋体"/>
          <w:color w:val="auto"/>
          <w:szCs w:val="21"/>
          <w:highlight w:val="none"/>
        </w:rPr>
      </w:pPr>
      <w:r>
        <w:rPr>
          <w:rFonts w:hint="eastAsia" w:hAnsi="宋体" w:cs="宋体"/>
          <w:color w:val="auto"/>
          <w:szCs w:val="21"/>
          <w:highlight w:val="none"/>
        </w:rPr>
        <w:t>2.供应商提供有效的营业执照复印件等具有独立承担民事责任能力的证明材料复印件。</w:t>
      </w:r>
    </w:p>
    <w:p>
      <w:pPr>
        <w:spacing w:line="440" w:lineRule="exact"/>
        <w:ind w:firstLine="420" w:firstLineChars="200"/>
        <w:rPr>
          <w:rFonts w:hint="eastAsia" w:hAnsi="宋体" w:cs="宋体"/>
          <w:color w:val="auto"/>
          <w:szCs w:val="21"/>
          <w:highlight w:val="none"/>
        </w:rPr>
      </w:pPr>
      <w:r>
        <w:rPr>
          <w:rFonts w:hint="eastAsia" w:hAnsi="宋体" w:cs="宋体"/>
          <w:color w:val="auto"/>
          <w:szCs w:val="21"/>
          <w:highlight w:val="none"/>
        </w:rPr>
        <w:t>3.供应商法定代表人参加磋商的，必须提供法定代表人身份证明及法定代表人本人身份证复印件；非法定代表人参加磋商的，必须提供法定代表人签字或盖章的授权委托书及法定代表人、被授权人的两人身份证的复印件。（格式参见第七章）</w:t>
      </w:r>
    </w:p>
    <w:p>
      <w:pPr>
        <w:spacing w:line="440" w:lineRule="exact"/>
        <w:ind w:firstLine="420" w:firstLineChars="200"/>
        <w:rPr>
          <w:rFonts w:hint="eastAsia" w:hAnsi="宋体" w:cs="宋体"/>
          <w:color w:val="auto"/>
          <w:szCs w:val="21"/>
          <w:highlight w:val="none"/>
        </w:rPr>
      </w:pPr>
      <w:r>
        <w:rPr>
          <w:rFonts w:hint="eastAsia" w:ascii="宋体" w:hAnsi="宋体" w:cs="宋体"/>
          <w:color w:val="auto"/>
          <w:szCs w:val="21"/>
          <w:highlight w:val="none"/>
        </w:rPr>
        <w:t>4.供应商须提供参与本次项目采购活动前三年内，在经营活动中没有重大违法记录的书面《无重大违法记录声明函》（格式参见第七章）。</w:t>
      </w:r>
    </w:p>
    <w:p>
      <w:pPr>
        <w:spacing w:line="440" w:lineRule="exact"/>
        <w:ind w:firstLine="420" w:firstLineChars="200"/>
        <w:rPr>
          <w:rFonts w:hint="eastAsia" w:hAnsi="宋体" w:cs="宋体"/>
          <w:color w:val="auto"/>
          <w:szCs w:val="21"/>
          <w:highlight w:val="none"/>
        </w:rPr>
      </w:pPr>
      <w:r>
        <w:rPr>
          <w:rFonts w:hint="eastAsia" w:hAnsi="宋体" w:cs="宋体"/>
          <w:color w:val="auto"/>
          <w:szCs w:val="21"/>
          <w:highlight w:val="none"/>
        </w:rPr>
        <w:t>5.提供《关于资格文件的声明函》（格式参见第七章）。</w:t>
      </w:r>
    </w:p>
    <w:p>
      <w:pPr>
        <w:adjustRightInd w:val="0"/>
        <w:snapToGrid w:val="0"/>
        <w:spacing w:line="440" w:lineRule="exact"/>
        <w:ind w:firstLine="422" w:firstLineChars="200"/>
        <w:jc w:val="left"/>
        <w:rPr>
          <w:rFonts w:hint="eastAsia" w:hAnsi="宋体"/>
          <w:b/>
          <w:color w:val="auto"/>
          <w:szCs w:val="21"/>
          <w:highlight w:val="none"/>
        </w:rPr>
      </w:pPr>
      <w:r>
        <w:rPr>
          <w:rFonts w:hint="eastAsia" w:hAnsi="宋体"/>
          <w:b/>
          <w:color w:val="auto"/>
          <w:szCs w:val="21"/>
          <w:highlight w:val="none"/>
        </w:rPr>
        <w:t>以上材料如为复印件均需加盖供应商公章。</w:t>
      </w:r>
    </w:p>
    <w:p>
      <w:pPr>
        <w:numPr>
          <w:ilvl w:val="0"/>
          <w:numId w:val="2"/>
        </w:numPr>
        <w:spacing w:line="440" w:lineRule="exact"/>
        <w:ind w:firstLine="422" w:firstLineChars="200"/>
        <w:outlineLvl w:val="1"/>
        <w:rPr>
          <w:rFonts w:hint="eastAsia" w:hAnsi="宋体"/>
          <w:b/>
          <w:bCs/>
          <w:color w:val="auto"/>
          <w:szCs w:val="21"/>
          <w:highlight w:val="none"/>
        </w:rPr>
      </w:pPr>
      <w:r>
        <w:rPr>
          <w:rFonts w:hint="eastAsia" w:hAnsi="宋体"/>
          <w:b/>
          <w:bCs/>
          <w:color w:val="auto"/>
          <w:szCs w:val="21"/>
          <w:highlight w:val="none"/>
        </w:rPr>
        <w:t>商务技术响应文件（单独密封）：</w:t>
      </w:r>
    </w:p>
    <w:p>
      <w:pPr>
        <w:adjustRightInd w:val="0"/>
        <w:snapToGrid w:val="0"/>
        <w:spacing w:line="440" w:lineRule="exact"/>
        <w:ind w:firstLine="424" w:firstLineChars="202"/>
        <w:jc w:val="left"/>
        <w:rPr>
          <w:rFonts w:hint="eastAsia" w:hAnsi="宋体" w:cs="宋体"/>
          <w:bCs/>
          <w:color w:val="auto"/>
          <w:szCs w:val="21"/>
          <w:highlight w:val="none"/>
        </w:rPr>
      </w:pPr>
      <w:r>
        <w:rPr>
          <w:rFonts w:hint="eastAsia" w:hAnsi="宋体" w:cs="宋体"/>
          <w:bCs/>
          <w:color w:val="auto"/>
          <w:szCs w:val="21"/>
          <w:highlight w:val="none"/>
        </w:rPr>
        <w:t>1.磋商文件商务技术分评审标准中所涉及的事项需提供的所有资料；</w:t>
      </w:r>
    </w:p>
    <w:p>
      <w:pPr>
        <w:adjustRightInd w:val="0"/>
        <w:snapToGrid w:val="0"/>
        <w:spacing w:line="440" w:lineRule="exact"/>
        <w:ind w:firstLine="424" w:firstLineChars="202"/>
        <w:jc w:val="left"/>
        <w:rPr>
          <w:rFonts w:hint="eastAsia" w:hAnsi="宋体"/>
          <w:b/>
          <w:color w:val="auto"/>
          <w:szCs w:val="21"/>
          <w:highlight w:val="none"/>
        </w:rPr>
      </w:pPr>
      <w:r>
        <w:rPr>
          <w:rFonts w:hint="eastAsia" w:hAnsi="宋体" w:cs="宋体"/>
          <w:bCs/>
          <w:color w:val="auto"/>
          <w:szCs w:val="21"/>
          <w:highlight w:val="none"/>
        </w:rPr>
        <w:t>2.磋商文件中未涉及的事项，供应商认为需要提交的其他资料。</w:t>
      </w:r>
    </w:p>
    <w:p>
      <w:pPr>
        <w:adjustRightInd w:val="0"/>
        <w:snapToGrid w:val="0"/>
        <w:spacing w:line="440" w:lineRule="exact"/>
        <w:ind w:firstLine="422" w:firstLineChars="200"/>
        <w:jc w:val="left"/>
        <w:rPr>
          <w:rFonts w:hint="eastAsia" w:hAnsi="宋体" w:cs="宋体"/>
          <w:b/>
          <w:bCs/>
          <w:color w:val="auto"/>
          <w:szCs w:val="21"/>
          <w:highlight w:val="none"/>
        </w:rPr>
      </w:pPr>
      <w:r>
        <w:rPr>
          <w:rFonts w:hint="eastAsia" w:hAnsi="宋体" w:cs="宋体"/>
          <w:b/>
          <w:bCs/>
          <w:color w:val="auto"/>
          <w:szCs w:val="21"/>
          <w:highlight w:val="none"/>
        </w:rPr>
        <w:t>特别提醒：“资格审查文件”“商务技术响应文件”所须提供的材料按磋商文件要求装订，密封，递交。</w:t>
      </w:r>
    </w:p>
    <w:p>
      <w:pPr>
        <w:adjustRightInd w:val="0"/>
        <w:snapToGrid w:val="0"/>
        <w:spacing w:line="440" w:lineRule="exact"/>
        <w:ind w:firstLine="422" w:firstLineChars="200"/>
        <w:jc w:val="left"/>
        <w:outlineLvl w:val="1"/>
        <w:rPr>
          <w:rFonts w:hint="eastAsia" w:hAnsi="宋体" w:cs="宋体"/>
          <w:b/>
          <w:bCs/>
          <w:color w:val="auto"/>
          <w:szCs w:val="21"/>
          <w:highlight w:val="none"/>
        </w:rPr>
      </w:pPr>
      <w:r>
        <w:rPr>
          <w:rFonts w:hint="eastAsia" w:hAnsi="宋体" w:cs="宋体"/>
          <w:b/>
          <w:bCs/>
          <w:color w:val="auto"/>
          <w:szCs w:val="21"/>
          <w:highlight w:val="none"/>
        </w:rPr>
        <w:t>三、报价响应文件（单独密封）</w:t>
      </w:r>
    </w:p>
    <w:p>
      <w:pPr>
        <w:spacing w:line="440" w:lineRule="exact"/>
        <w:ind w:firstLine="420" w:firstLineChars="200"/>
        <w:rPr>
          <w:rFonts w:hint="eastAsia" w:hAnsi="宋体" w:cs="宋体"/>
          <w:color w:val="auto"/>
          <w:szCs w:val="21"/>
          <w:highlight w:val="none"/>
        </w:rPr>
      </w:pPr>
      <w:r>
        <w:rPr>
          <w:rFonts w:hint="eastAsia" w:hAnsi="宋体" w:cs="宋体"/>
          <w:color w:val="auto"/>
          <w:szCs w:val="21"/>
          <w:highlight w:val="none"/>
        </w:rPr>
        <w:t>1.竞争性磋商响应函（格式参见第七章）；</w:t>
      </w:r>
    </w:p>
    <w:p>
      <w:pPr>
        <w:spacing w:line="440" w:lineRule="exact"/>
        <w:ind w:firstLine="420" w:firstLineChars="200"/>
        <w:rPr>
          <w:rFonts w:hint="eastAsia" w:hAnsi="宋体" w:cs="宋体"/>
          <w:color w:val="auto"/>
          <w:szCs w:val="21"/>
          <w:highlight w:val="none"/>
        </w:rPr>
      </w:pPr>
      <w:r>
        <w:rPr>
          <w:rFonts w:hint="eastAsia" w:hAnsi="宋体" w:cs="宋体"/>
          <w:color w:val="auto"/>
          <w:szCs w:val="21"/>
          <w:highlight w:val="none"/>
        </w:rPr>
        <w:t>2.磋商响应报价表（格式参见第七章）；</w:t>
      </w:r>
    </w:p>
    <w:p>
      <w:pPr>
        <w:spacing w:line="440" w:lineRule="exact"/>
        <w:ind w:firstLine="420" w:firstLineChars="200"/>
        <w:rPr>
          <w:rFonts w:hint="eastAsia" w:hAnsi="宋体" w:cs="宋体"/>
          <w:b/>
          <w:bCs/>
          <w:color w:val="auto"/>
          <w:szCs w:val="21"/>
          <w:highlight w:val="none"/>
        </w:rPr>
      </w:pPr>
      <w:r>
        <w:rPr>
          <w:rFonts w:hint="eastAsia" w:hAnsi="宋体" w:cs="宋体"/>
          <w:color w:val="auto"/>
          <w:szCs w:val="21"/>
          <w:highlight w:val="none"/>
        </w:rPr>
        <w:t>3.磋商响应报价明细表（格式自拟）。</w:t>
      </w:r>
    </w:p>
    <w:p>
      <w:pPr>
        <w:spacing w:line="440" w:lineRule="exact"/>
        <w:ind w:firstLine="422" w:firstLineChars="200"/>
        <w:rPr>
          <w:rFonts w:hint="eastAsia" w:hAnsi="宋体" w:cs="宋体"/>
          <w:b/>
          <w:bCs/>
          <w:color w:val="auto"/>
          <w:szCs w:val="21"/>
          <w:highlight w:val="none"/>
        </w:rPr>
      </w:pPr>
      <w:r>
        <w:rPr>
          <w:rFonts w:hint="eastAsia" w:hAnsi="宋体" w:cs="宋体"/>
          <w:b/>
          <w:bCs/>
          <w:color w:val="auto"/>
          <w:szCs w:val="21"/>
          <w:highlight w:val="none"/>
        </w:rPr>
        <w:t>四、响应文件电子版（单独密封）</w:t>
      </w:r>
    </w:p>
    <w:p>
      <w:pPr>
        <w:spacing w:line="440" w:lineRule="exact"/>
        <w:ind w:firstLine="420" w:firstLineChars="200"/>
        <w:rPr>
          <w:rFonts w:hint="eastAsia" w:hAnsi="宋体" w:cs="宋体"/>
          <w:color w:val="auto"/>
          <w:szCs w:val="21"/>
          <w:highlight w:val="none"/>
        </w:rPr>
      </w:pPr>
      <w:r>
        <w:rPr>
          <w:rFonts w:hint="eastAsia" w:hAnsi="宋体" w:cs="宋体"/>
          <w:color w:val="auto"/>
          <w:szCs w:val="21"/>
          <w:highlight w:val="none"/>
        </w:rPr>
        <w:t>响应文件电子版需将资格审查文件、商务技术响应文件、报价响应文件的正本盖章后扫描一份存于U盘中，单独密封递交。</w:t>
      </w:r>
    </w:p>
    <w:p>
      <w:pPr>
        <w:widowControl/>
        <w:spacing w:line="440" w:lineRule="exact"/>
        <w:jc w:val="left"/>
        <w:outlineLvl w:val="1"/>
        <w:rPr>
          <w:rFonts w:hint="eastAsia" w:hAnsi="宋体"/>
          <w:b/>
          <w:bCs/>
          <w:color w:val="auto"/>
          <w:sz w:val="24"/>
          <w:szCs w:val="24"/>
          <w:highlight w:val="none"/>
        </w:rPr>
      </w:pPr>
      <w:r>
        <w:rPr>
          <w:rFonts w:hint="eastAsia" w:hAnsi="宋体"/>
          <w:b/>
          <w:color w:val="auto"/>
          <w:sz w:val="24"/>
          <w:szCs w:val="24"/>
          <w:highlight w:val="none"/>
        </w:rPr>
        <w:br w:type="page"/>
      </w:r>
      <w:r>
        <w:rPr>
          <w:rFonts w:hint="eastAsia" w:hAnsi="宋体"/>
          <w:b/>
          <w:color w:val="auto"/>
          <w:sz w:val="24"/>
          <w:szCs w:val="24"/>
          <w:highlight w:val="none"/>
        </w:rPr>
        <w:t>附件:</w:t>
      </w:r>
    </w:p>
    <w:p>
      <w:pPr>
        <w:snapToGrid w:val="0"/>
        <w:spacing w:line="520" w:lineRule="exact"/>
        <w:jc w:val="center"/>
        <w:outlineLvl w:val="2"/>
        <w:rPr>
          <w:rFonts w:hint="eastAsia" w:hAnsi="宋体" w:cs="宋体"/>
          <w:b/>
          <w:bCs/>
          <w:color w:val="auto"/>
          <w:sz w:val="24"/>
          <w:szCs w:val="24"/>
          <w:highlight w:val="none"/>
        </w:rPr>
      </w:pPr>
      <w:r>
        <w:rPr>
          <w:rFonts w:hint="eastAsia" w:hAnsi="宋体" w:cs="宋体"/>
          <w:b/>
          <w:bCs/>
          <w:color w:val="auto"/>
          <w:sz w:val="24"/>
          <w:szCs w:val="24"/>
          <w:highlight w:val="none"/>
        </w:rPr>
        <w:t>1.法定代表人身份证明</w:t>
      </w:r>
    </w:p>
    <w:p>
      <w:pPr>
        <w:snapToGrid w:val="0"/>
        <w:spacing w:line="520" w:lineRule="exact"/>
        <w:jc w:val="center"/>
        <w:rPr>
          <w:rFonts w:hint="eastAsia" w:hAnsi="宋体" w:cs="宋体"/>
          <w:color w:val="auto"/>
          <w:sz w:val="24"/>
          <w:szCs w:val="24"/>
          <w:highlight w:val="none"/>
        </w:rPr>
      </w:pPr>
      <w:r>
        <w:rPr>
          <w:rFonts w:hint="eastAsia" w:hAnsi="宋体" w:cs="宋体"/>
          <w:color w:val="auto"/>
          <w:sz w:val="24"/>
          <w:szCs w:val="24"/>
          <w:highlight w:val="none"/>
        </w:rPr>
        <w:t>（法定代表人参加磋商，须出示此证明）</w:t>
      </w:r>
    </w:p>
    <w:p>
      <w:pPr>
        <w:snapToGrid w:val="0"/>
        <w:spacing w:line="520" w:lineRule="exact"/>
        <w:jc w:val="center"/>
        <w:rPr>
          <w:rFonts w:hint="eastAsia" w:hAnsi="宋体" w:cs="宋体"/>
          <w:color w:val="auto"/>
          <w:sz w:val="24"/>
          <w:szCs w:val="24"/>
          <w:highlight w:val="none"/>
        </w:rPr>
      </w:pPr>
    </w:p>
    <w:p>
      <w:pPr>
        <w:snapToGrid w:val="0"/>
        <w:spacing w:line="520" w:lineRule="exact"/>
        <w:rPr>
          <w:rFonts w:hint="eastAsia" w:hAnsi="宋体" w:cs="宋体"/>
          <w:color w:val="auto"/>
          <w:sz w:val="24"/>
          <w:szCs w:val="24"/>
          <w:highlight w:val="none"/>
        </w:rPr>
      </w:pPr>
      <w:r>
        <w:rPr>
          <w:rFonts w:hint="eastAsia" w:ascii="方正仿宋_GBK"/>
          <w:color w:val="auto"/>
          <w:sz w:val="24"/>
          <w:szCs w:val="24"/>
          <w:highlight w:val="none"/>
          <w:u w:val="single"/>
        </w:rPr>
        <w:t>南通市海洋发展局</w:t>
      </w:r>
      <w:r>
        <w:rPr>
          <w:rFonts w:hint="eastAsia" w:hAnsi="宋体" w:cs="宋体"/>
          <w:color w:val="auto"/>
          <w:sz w:val="24"/>
          <w:szCs w:val="24"/>
          <w:highlight w:val="none"/>
        </w:rPr>
        <w:t>：</w:t>
      </w:r>
    </w:p>
    <w:p>
      <w:pPr>
        <w:snapToGrid w:val="0"/>
        <w:spacing w:line="52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我公司法定代表人</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参加贵单位组织的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（竞争性磋商项目名称)项目的磋商活动，全权代表我公司处理该磋商活动的有关事宜。</w:t>
      </w:r>
    </w:p>
    <w:p>
      <w:pPr>
        <w:snapToGrid w:val="0"/>
        <w:spacing w:line="520" w:lineRule="exact"/>
        <w:rPr>
          <w:rFonts w:hint="eastAsia" w:hAnsi="宋体" w:cs="宋体"/>
          <w:color w:val="auto"/>
          <w:sz w:val="24"/>
          <w:szCs w:val="24"/>
          <w:highlight w:val="none"/>
        </w:rPr>
      </w:pPr>
    </w:p>
    <w:p>
      <w:pPr>
        <w:snapToGrid w:val="0"/>
        <w:spacing w:line="520" w:lineRule="exact"/>
        <w:rPr>
          <w:rFonts w:hint="eastAsia" w:hAnsi="宋体" w:cs="宋体"/>
          <w:color w:val="auto"/>
          <w:sz w:val="24"/>
          <w:szCs w:val="24"/>
          <w:highlight w:val="none"/>
        </w:rPr>
      </w:pPr>
      <w:r>
        <w:rPr>
          <w:rFonts w:hint="eastAsia" w:hAnsi="宋体" w:cs="宋体"/>
          <w:color w:val="auto"/>
          <w:sz w:val="24"/>
          <w:szCs w:val="24"/>
          <w:highlight w:val="none"/>
        </w:rPr>
        <w:t>附：法定代表人情况：</w:t>
      </w:r>
    </w:p>
    <w:p>
      <w:pPr>
        <w:snapToGrid w:val="0"/>
        <w:spacing w:line="520" w:lineRule="exact"/>
        <w:rPr>
          <w:rFonts w:hint="eastAsia" w:hAnsi="宋体" w:cs="宋体"/>
          <w:color w:val="auto"/>
          <w:sz w:val="24"/>
          <w:szCs w:val="24"/>
          <w:highlight w:val="none"/>
          <w:u w:val="single"/>
        </w:rPr>
      </w:pPr>
      <w:r>
        <w:rPr>
          <w:rFonts w:hint="eastAsia" w:hAnsi="宋体" w:cs="宋体"/>
          <w:color w:val="auto"/>
          <w:sz w:val="24"/>
          <w:szCs w:val="24"/>
          <w:highlight w:val="none"/>
        </w:rPr>
        <w:t>姓名：</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性别：</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职务：</w:t>
      </w:r>
      <w:r>
        <w:rPr>
          <w:rFonts w:hint="eastAsia" w:hAnsi="宋体" w:cs="宋体"/>
          <w:color w:val="auto"/>
          <w:sz w:val="24"/>
          <w:szCs w:val="24"/>
          <w:highlight w:val="none"/>
          <w:u w:val="single"/>
        </w:rPr>
        <w:t xml:space="preserve">          </w:t>
      </w:r>
    </w:p>
    <w:p>
      <w:pPr>
        <w:snapToGrid w:val="0"/>
        <w:spacing w:line="520" w:lineRule="exact"/>
        <w:rPr>
          <w:rFonts w:hint="eastAsia" w:hAnsi="宋体" w:cs="宋体"/>
          <w:color w:val="auto"/>
          <w:sz w:val="24"/>
          <w:szCs w:val="24"/>
          <w:highlight w:val="none"/>
        </w:rPr>
      </w:pPr>
      <w:r>
        <w:rPr>
          <w:rFonts w:hint="eastAsia" w:hAnsi="宋体" w:cs="宋体"/>
          <w:color w:val="auto"/>
          <w:sz w:val="24"/>
          <w:szCs w:val="24"/>
          <w:highlight w:val="none"/>
        </w:rPr>
        <w:t>身份证号码：</w:t>
      </w:r>
      <w:r>
        <w:rPr>
          <w:rFonts w:hint="eastAsia" w:hAnsi="宋体" w:cs="宋体"/>
          <w:color w:val="auto"/>
          <w:sz w:val="24"/>
          <w:szCs w:val="24"/>
          <w:highlight w:val="none"/>
          <w:u w:val="single"/>
        </w:rPr>
        <w:t xml:space="preserve">                                         </w:t>
      </w:r>
    </w:p>
    <w:p>
      <w:pPr>
        <w:snapToGrid w:val="0"/>
        <w:spacing w:line="520" w:lineRule="exact"/>
        <w:rPr>
          <w:rFonts w:hint="eastAsia" w:hAnsi="宋体" w:cs="宋体"/>
          <w:color w:val="auto"/>
          <w:sz w:val="24"/>
          <w:szCs w:val="24"/>
          <w:highlight w:val="none"/>
        </w:rPr>
      </w:pPr>
      <w:r>
        <w:rPr>
          <w:rFonts w:hint="eastAsia" w:hAnsi="宋体" w:cs="宋体"/>
          <w:color w:val="auto"/>
          <w:sz w:val="24"/>
          <w:szCs w:val="24"/>
          <w:highlight w:val="none"/>
        </w:rPr>
        <w:t>手机：</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传真：</w:t>
      </w:r>
      <w:r>
        <w:rPr>
          <w:rFonts w:hint="eastAsia" w:hAnsi="宋体" w:cs="宋体"/>
          <w:color w:val="auto"/>
          <w:sz w:val="24"/>
          <w:szCs w:val="24"/>
          <w:highlight w:val="none"/>
          <w:u w:val="single"/>
        </w:rPr>
        <w:t xml:space="preserve">                       </w:t>
      </w:r>
    </w:p>
    <w:p>
      <w:pPr>
        <w:snapToGrid w:val="0"/>
        <w:spacing w:line="520" w:lineRule="exact"/>
        <w:rPr>
          <w:rFonts w:hint="eastAsia" w:hAnsi="宋体" w:cs="宋体"/>
          <w:color w:val="auto"/>
          <w:sz w:val="24"/>
          <w:szCs w:val="24"/>
          <w:highlight w:val="none"/>
        </w:rPr>
      </w:pPr>
      <w:r>
        <w:rPr>
          <w:rFonts w:hint="eastAsia" w:hAnsi="宋体" w:cs="宋体"/>
          <w:color w:val="auto"/>
          <w:sz w:val="24"/>
          <w:szCs w:val="24"/>
          <w:highlight w:val="none"/>
        </w:rPr>
        <w:t> </w:t>
      </w:r>
    </w:p>
    <w:p>
      <w:pPr>
        <w:snapToGrid w:val="0"/>
        <w:spacing w:line="520" w:lineRule="exact"/>
        <w:rPr>
          <w:rFonts w:hint="eastAsia" w:hAnsi="宋体" w:cs="宋体"/>
          <w:color w:val="auto"/>
          <w:sz w:val="24"/>
          <w:szCs w:val="24"/>
          <w:highlight w:val="none"/>
        </w:rPr>
      </w:pPr>
    </w:p>
    <w:p>
      <w:pPr>
        <w:snapToGrid w:val="0"/>
        <w:spacing w:line="520" w:lineRule="exact"/>
        <w:rPr>
          <w:rFonts w:hint="eastAsia" w:hAnsi="宋体" w:cs="宋体"/>
          <w:color w:val="auto"/>
          <w:sz w:val="24"/>
          <w:szCs w:val="24"/>
          <w:highlight w:val="none"/>
        </w:rPr>
      </w:pPr>
      <w:r>
        <w:rPr>
          <w:rFonts w:hint="eastAsia" w:hAnsi="宋体" w:cs="宋体"/>
          <w:color w:val="auto"/>
          <w:sz w:val="24"/>
          <w:szCs w:val="24"/>
          <w:highlight w:val="none"/>
        </w:rPr>
        <w:t>单位名称（公章）             法定代表人（签字或盖章）</w:t>
      </w:r>
    </w:p>
    <w:p>
      <w:pPr>
        <w:snapToGrid w:val="0"/>
        <w:spacing w:line="520" w:lineRule="exact"/>
        <w:ind w:firstLine="1200" w:firstLineChars="500"/>
        <w:rPr>
          <w:rFonts w:hint="eastAsia" w:hAnsi="宋体" w:cs="宋体"/>
          <w:color w:val="auto"/>
          <w:sz w:val="24"/>
          <w:szCs w:val="24"/>
          <w:highlight w:val="none"/>
        </w:rPr>
      </w:pPr>
      <w:r>
        <w:rPr>
          <w:rFonts w:hint="eastAsia" w:hAnsi="宋体" w:cs="宋体"/>
          <w:color w:val="auto"/>
          <w:sz w:val="24"/>
          <w:szCs w:val="24"/>
          <w:highlight w:val="none"/>
        </w:rPr>
        <w:t xml:space="preserve">年   月   日                 年   月    日  </w:t>
      </w:r>
    </w:p>
    <w:p>
      <w:pPr>
        <w:snapToGrid w:val="0"/>
        <w:spacing w:line="520" w:lineRule="exact"/>
        <w:rPr>
          <w:rFonts w:hint="eastAsia" w:hAnsi="宋体" w:cs="宋体"/>
          <w:color w:val="auto"/>
          <w:sz w:val="24"/>
          <w:szCs w:val="24"/>
          <w:highlight w:val="none"/>
        </w:rPr>
      </w:pPr>
    </w:p>
    <w:p>
      <w:pPr>
        <w:snapToGrid w:val="0"/>
        <w:spacing w:line="520" w:lineRule="exact"/>
        <w:rPr>
          <w:rFonts w:hint="eastAsia" w:hAnsi="宋体" w:cs="宋体"/>
          <w:color w:val="auto"/>
          <w:sz w:val="24"/>
          <w:szCs w:val="24"/>
          <w:highlight w:val="none"/>
        </w:rPr>
      </w:pPr>
      <w:r>
        <w:rPr>
          <w:rFonts w:hint="eastAsia" w:hAnsi="宋体" w:cs="宋体"/>
          <w:color w:val="auto"/>
          <w:sz w:val="24"/>
          <w:szCs w:val="24"/>
          <w:highlight w:val="none"/>
        </w:rPr>
        <w:t>法定代表人身份证复印件</w:t>
      </w:r>
    </w:p>
    <w:p>
      <w:pPr>
        <w:snapToGrid w:val="0"/>
        <w:spacing w:line="520" w:lineRule="exact"/>
        <w:rPr>
          <w:rFonts w:hint="eastAsia" w:hAnsi="宋体" w:cs="宋体"/>
          <w:color w:val="auto"/>
          <w:sz w:val="24"/>
          <w:szCs w:val="24"/>
          <w:highlight w:val="none"/>
        </w:rPr>
      </w:pPr>
    </w:p>
    <w:p>
      <w:pPr>
        <w:snapToGrid w:val="0"/>
        <w:spacing w:line="520" w:lineRule="exact"/>
        <w:rPr>
          <w:rFonts w:hint="eastAsia" w:hAnsi="宋体" w:cs="宋体"/>
          <w:color w:val="auto"/>
          <w:sz w:val="24"/>
          <w:szCs w:val="24"/>
          <w:highlight w:val="none"/>
        </w:rPr>
      </w:pPr>
    </w:p>
    <w:p>
      <w:pPr>
        <w:snapToGrid w:val="0"/>
        <w:spacing w:line="520" w:lineRule="exact"/>
        <w:ind w:firstLine="2280" w:firstLineChars="950"/>
        <w:rPr>
          <w:rFonts w:hint="eastAsia" w:hAnsi="宋体" w:cs="宋体"/>
          <w:color w:val="auto"/>
          <w:sz w:val="24"/>
          <w:szCs w:val="24"/>
          <w:highlight w:val="none"/>
        </w:rPr>
      </w:pPr>
      <w:r>
        <w:rPr>
          <w:rFonts w:hint="eastAsia" w:hAnsi="宋体" w:cs="宋体"/>
          <w:color w:val="auto"/>
          <w:sz w:val="24"/>
          <w:szCs w:val="24"/>
          <w:highlight w:val="none"/>
        </w:rPr>
        <w:t>（粘贴此处）</w:t>
      </w:r>
    </w:p>
    <w:p>
      <w:pPr>
        <w:snapToGrid w:val="0"/>
        <w:spacing w:line="520" w:lineRule="exact"/>
        <w:ind w:firstLine="482" w:firstLineChars="200"/>
        <w:rPr>
          <w:rFonts w:hint="eastAsia" w:hAnsi="宋体" w:cs="宋体"/>
          <w:b/>
          <w:bCs/>
          <w:color w:val="auto"/>
          <w:sz w:val="24"/>
          <w:szCs w:val="24"/>
          <w:highlight w:val="none"/>
        </w:rPr>
      </w:pPr>
      <w:r>
        <w:rPr>
          <w:rFonts w:hint="eastAsia" w:hAnsi="宋体" w:cs="宋体"/>
          <w:b/>
          <w:bCs/>
          <w:color w:val="auto"/>
          <w:sz w:val="24"/>
          <w:szCs w:val="24"/>
          <w:highlight w:val="none"/>
        </w:rPr>
        <w:t>注:参加磋商活动时法定代表人将身份证原件带至开标现场备查。</w:t>
      </w:r>
    </w:p>
    <w:p>
      <w:pPr>
        <w:snapToGrid w:val="0"/>
        <w:spacing w:line="520" w:lineRule="exact"/>
        <w:jc w:val="center"/>
        <w:outlineLvl w:val="2"/>
        <w:rPr>
          <w:rFonts w:hint="eastAsia" w:hAnsi="宋体" w:cs="宋体"/>
          <w:b/>
          <w:bCs/>
          <w:color w:val="auto"/>
          <w:sz w:val="24"/>
          <w:szCs w:val="24"/>
          <w:highlight w:val="none"/>
        </w:rPr>
      </w:pPr>
      <w:r>
        <w:rPr>
          <w:rFonts w:hint="eastAsia" w:hAnsi="宋体" w:cs="宋体"/>
          <w:b/>
          <w:bCs/>
          <w:color w:val="auto"/>
          <w:sz w:val="24"/>
          <w:szCs w:val="24"/>
          <w:highlight w:val="none"/>
        </w:rPr>
        <w:br w:type="page"/>
      </w:r>
      <w:r>
        <w:rPr>
          <w:rFonts w:hint="eastAsia" w:hAnsi="宋体" w:cs="宋体"/>
          <w:b/>
          <w:bCs/>
          <w:color w:val="auto"/>
          <w:sz w:val="24"/>
          <w:szCs w:val="24"/>
          <w:highlight w:val="none"/>
        </w:rPr>
        <w:t>2.授权委托书</w:t>
      </w:r>
    </w:p>
    <w:p>
      <w:pPr>
        <w:snapToGrid w:val="0"/>
        <w:spacing w:line="520" w:lineRule="exact"/>
        <w:jc w:val="center"/>
        <w:rPr>
          <w:rFonts w:hint="eastAsia" w:hAnsi="宋体" w:cs="宋体"/>
          <w:color w:val="auto"/>
          <w:sz w:val="24"/>
          <w:szCs w:val="24"/>
          <w:highlight w:val="none"/>
        </w:rPr>
      </w:pPr>
      <w:r>
        <w:rPr>
          <w:rFonts w:hint="eastAsia" w:hAnsi="宋体" w:cs="宋体"/>
          <w:color w:val="auto"/>
          <w:sz w:val="24"/>
          <w:szCs w:val="24"/>
          <w:highlight w:val="none"/>
        </w:rPr>
        <w:t>（委托代理人参加磋商，须出示此证明）</w:t>
      </w:r>
    </w:p>
    <w:p>
      <w:pPr>
        <w:snapToGrid w:val="0"/>
        <w:spacing w:line="520" w:lineRule="exact"/>
        <w:rPr>
          <w:rFonts w:hint="eastAsia" w:hAnsi="宋体" w:cs="宋体"/>
          <w:bCs/>
          <w:color w:val="auto"/>
          <w:sz w:val="24"/>
          <w:szCs w:val="24"/>
          <w:highlight w:val="none"/>
        </w:rPr>
      </w:pPr>
      <w:r>
        <w:rPr>
          <w:rFonts w:hint="eastAsia" w:ascii="方正仿宋_GBK"/>
          <w:color w:val="auto"/>
          <w:sz w:val="24"/>
          <w:szCs w:val="24"/>
          <w:highlight w:val="none"/>
          <w:u w:val="single"/>
        </w:rPr>
        <w:t>南通市海洋发展局</w:t>
      </w:r>
      <w:r>
        <w:rPr>
          <w:rFonts w:hint="eastAsia" w:hAnsi="宋体" w:cs="宋体"/>
          <w:color w:val="auto"/>
          <w:sz w:val="24"/>
          <w:szCs w:val="24"/>
          <w:highlight w:val="none"/>
        </w:rPr>
        <w:t>：</w:t>
      </w:r>
    </w:p>
    <w:p>
      <w:pPr>
        <w:snapToGrid w:val="0"/>
        <w:spacing w:line="520" w:lineRule="exact"/>
        <w:ind w:left="1" w:firstLine="480" w:firstLineChars="200"/>
        <w:rPr>
          <w:rFonts w:hint="eastAsia" w:hAnsi="宋体" w:cs="宋体"/>
          <w:color w:val="auto"/>
          <w:sz w:val="24"/>
          <w:szCs w:val="24"/>
          <w:highlight w:val="none"/>
        </w:rPr>
      </w:pPr>
      <w:r>
        <w:rPr>
          <w:rFonts w:hint="eastAsia" w:hAnsi="宋体" w:cs="宋体"/>
          <w:color w:val="auto"/>
          <w:sz w:val="24"/>
          <w:szCs w:val="24"/>
          <w:highlight w:val="none"/>
        </w:rPr>
        <w:t>兹授权</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被授权人的姓名）代表我公司参加</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（竞争性磋商项目名称)项目的磋商活动，全权处理一切与该项目磋商有关的事务。其在办理上述事宜过程中所签署的所有文件我公司均予以承认。</w:t>
      </w:r>
    </w:p>
    <w:p>
      <w:pPr>
        <w:snapToGrid w:val="0"/>
        <w:spacing w:line="520" w:lineRule="exact"/>
        <w:ind w:left="1" w:firstLine="480" w:firstLineChars="200"/>
        <w:rPr>
          <w:rFonts w:hint="eastAsia" w:hAnsi="宋体"/>
          <w:color w:val="auto"/>
          <w:sz w:val="24"/>
          <w:szCs w:val="24"/>
          <w:highlight w:val="none"/>
        </w:rPr>
      </w:pPr>
      <w:r>
        <w:rPr>
          <w:rFonts w:hint="eastAsia" w:hAnsi="宋体" w:cs="宋体"/>
          <w:color w:val="auto"/>
          <w:sz w:val="24"/>
          <w:szCs w:val="24"/>
          <w:highlight w:val="none"/>
        </w:rPr>
        <w:t>被授权人无转委托权。特此委托。</w:t>
      </w:r>
    </w:p>
    <w:p>
      <w:pPr>
        <w:snapToGrid w:val="0"/>
        <w:spacing w:line="520" w:lineRule="exact"/>
        <w:ind w:left="1" w:firstLine="480" w:firstLineChars="200"/>
        <w:rPr>
          <w:rFonts w:hint="eastAsia" w:hAnsi="宋体" w:cs="宋体"/>
          <w:color w:val="auto"/>
          <w:sz w:val="24"/>
          <w:szCs w:val="24"/>
          <w:highlight w:val="none"/>
        </w:rPr>
      </w:pPr>
    </w:p>
    <w:p>
      <w:pPr>
        <w:snapToGrid w:val="0"/>
        <w:spacing w:line="520" w:lineRule="exact"/>
        <w:rPr>
          <w:rFonts w:hint="eastAsia" w:hAnsi="宋体" w:cs="宋体"/>
          <w:color w:val="auto"/>
          <w:sz w:val="24"/>
          <w:szCs w:val="24"/>
          <w:highlight w:val="none"/>
        </w:rPr>
      </w:pPr>
    </w:p>
    <w:p>
      <w:pPr>
        <w:snapToGrid w:val="0"/>
        <w:spacing w:line="520" w:lineRule="exact"/>
        <w:rPr>
          <w:rFonts w:hint="eastAsia" w:hAnsi="宋体" w:cs="宋体"/>
          <w:color w:val="auto"/>
          <w:sz w:val="24"/>
          <w:szCs w:val="24"/>
          <w:highlight w:val="none"/>
        </w:rPr>
      </w:pPr>
      <w:r>
        <w:rPr>
          <w:rFonts w:hint="eastAsia" w:hAnsi="宋体" w:cs="宋体"/>
          <w:color w:val="auto"/>
          <w:sz w:val="24"/>
          <w:szCs w:val="24"/>
          <w:highlight w:val="none"/>
        </w:rPr>
        <w:t>附：被授权人情况：</w:t>
      </w:r>
    </w:p>
    <w:p>
      <w:pPr>
        <w:snapToGrid w:val="0"/>
        <w:spacing w:line="520" w:lineRule="exact"/>
        <w:rPr>
          <w:rFonts w:hint="eastAsia" w:hAnsi="宋体" w:cs="宋体"/>
          <w:color w:val="auto"/>
          <w:sz w:val="24"/>
          <w:szCs w:val="24"/>
          <w:highlight w:val="none"/>
          <w:u w:val="single"/>
        </w:rPr>
      </w:pPr>
      <w:r>
        <w:rPr>
          <w:rFonts w:hint="eastAsia" w:hAnsi="宋体" w:cs="宋体"/>
          <w:color w:val="auto"/>
          <w:sz w:val="24"/>
          <w:szCs w:val="24"/>
          <w:highlight w:val="none"/>
        </w:rPr>
        <w:t>姓名：</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性别：</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职务：</w:t>
      </w:r>
      <w:r>
        <w:rPr>
          <w:rFonts w:hint="eastAsia" w:hAnsi="宋体" w:cs="宋体"/>
          <w:color w:val="auto"/>
          <w:sz w:val="24"/>
          <w:szCs w:val="24"/>
          <w:highlight w:val="none"/>
          <w:u w:val="single"/>
        </w:rPr>
        <w:t xml:space="preserve">          </w:t>
      </w:r>
    </w:p>
    <w:p>
      <w:pPr>
        <w:snapToGrid w:val="0"/>
        <w:spacing w:line="520" w:lineRule="exact"/>
        <w:rPr>
          <w:rFonts w:hint="eastAsia" w:hAnsi="宋体" w:cs="宋体"/>
          <w:color w:val="auto"/>
          <w:sz w:val="24"/>
          <w:szCs w:val="24"/>
          <w:highlight w:val="none"/>
        </w:rPr>
      </w:pPr>
      <w:r>
        <w:rPr>
          <w:rFonts w:hint="eastAsia" w:hAnsi="宋体" w:cs="宋体"/>
          <w:color w:val="auto"/>
          <w:sz w:val="24"/>
          <w:szCs w:val="24"/>
          <w:highlight w:val="none"/>
        </w:rPr>
        <w:t>身份证号码：</w:t>
      </w:r>
      <w:r>
        <w:rPr>
          <w:rFonts w:hint="eastAsia" w:hAnsi="宋体" w:cs="宋体"/>
          <w:color w:val="auto"/>
          <w:sz w:val="24"/>
          <w:szCs w:val="24"/>
          <w:highlight w:val="none"/>
          <w:u w:val="single"/>
        </w:rPr>
        <w:t xml:space="preserve">                                         </w:t>
      </w:r>
    </w:p>
    <w:p>
      <w:pPr>
        <w:snapToGrid w:val="0"/>
        <w:spacing w:line="520" w:lineRule="exact"/>
        <w:rPr>
          <w:rFonts w:hint="eastAsia" w:hAnsi="宋体" w:cs="宋体"/>
          <w:color w:val="auto"/>
          <w:sz w:val="24"/>
          <w:szCs w:val="24"/>
          <w:highlight w:val="none"/>
        </w:rPr>
      </w:pPr>
      <w:r>
        <w:rPr>
          <w:rFonts w:hint="eastAsia" w:hAnsi="宋体" w:cs="宋体"/>
          <w:color w:val="auto"/>
          <w:sz w:val="24"/>
          <w:szCs w:val="24"/>
          <w:highlight w:val="none"/>
        </w:rPr>
        <w:t>手机：</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传真：</w:t>
      </w:r>
      <w:r>
        <w:rPr>
          <w:rFonts w:hint="eastAsia" w:hAnsi="宋体" w:cs="宋体"/>
          <w:color w:val="auto"/>
          <w:sz w:val="24"/>
          <w:szCs w:val="24"/>
          <w:highlight w:val="none"/>
          <w:u w:val="single"/>
        </w:rPr>
        <w:t xml:space="preserve">                        </w:t>
      </w:r>
    </w:p>
    <w:p>
      <w:pPr>
        <w:snapToGrid w:val="0"/>
        <w:spacing w:line="520" w:lineRule="exact"/>
        <w:rPr>
          <w:rFonts w:hint="eastAsia" w:hAnsi="宋体" w:cs="宋体"/>
          <w:color w:val="auto"/>
          <w:sz w:val="24"/>
          <w:szCs w:val="24"/>
          <w:highlight w:val="none"/>
        </w:rPr>
      </w:pPr>
      <w:r>
        <w:rPr>
          <w:rFonts w:hint="eastAsia" w:hAnsi="宋体" w:cs="宋体"/>
          <w:color w:val="auto"/>
          <w:sz w:val="24"/>
          <w:szCs w:val="24"/>
          <w:highlight w:val="none"/>
        </w:rPr>
        <w:t> </w:t>
      </w:r>
    </w:p>
    <w:p>
      <w:pPr>
        <w:snapToGrid w:val="0"/>
        <w:spacing w:line="520" w:lineRule="exact"/>
        <w:rPr>
          <w:rFonts w:hint="eastAsia" w:hAnsi="宋体" w:cs="宋体"/>
          <w:color w:val="auto"/>
          <w:sz w:val="24"/>
          <w:szCs w:val="24"/>
          <w:highlight w:val="none"/>
        </w:rPr>
      </w:pPr>
      <w:r>
        <w:rPr>
          <w:rFonts w:hint="eastAsia" w:hAnsi="宋体" w:cs="宋体"/>
          <w:color w:val="auto"/>
          <w:sz w:val="24"/>
          <w:szCs w:val="24"/>
          <w:highlight w:val="none"/>
        </w:rPr>
        <w:t>单位名称（公章）             法定代表人（签字或盖章）</w:t>
      </w:r>
    </w:p>
    <w:p>
      <w:pPr>
        <w:snapToGrid w:val="0"/>
        <w:spacing w:line="520" w:lineRule="exact"/>
        <w:ind w:firstLine="1200" w:firstLineChars="500"/>
        <w:rPr>
          <w:rFonts w:hint="eastAsia" w:hAnsi="宋体" w:cs="宋体"/>
          <w:color w:val="auto"/>
          <w:sz w:val="24"/>
          <w:szCs w:val="24"/>
          <w:highlight w:val="none"/>
        </w:rPr>
      </w:pPr>
      <w:r>
        <w:rPr>
          <w:rFonts w:hint="eastAsia" w:hAnsi="宋体" w:cs="宋体"/>
          <w:color w:val="auto"/>
          <w:sz w:val="24"/>
          <w:szCs w:val="24"/>
          <w:highlight w:val="none"/>
        </w:rPr>
        <w:t xml:space="preserve">年   月   日                 年   月    日  </w:t>
      </w:r>
    </w:p>
    <w:p>
      <w:pPr>
        <w:snapToGrid w:val="0"/>
        <w:spacing w:line="520" w:lineRule="exact"/>
        <w:rPr>
          <w:rFonts w:hint="eastAsia" w:hAnsi="宋体" w:cs="宋体"/>
          <w:color w:val="auto"/>
          <w:sz w:val="24"/>
          <w:szCs w:val="24"/>
          <w:highlight w:val="none"/>
        </w:rPr>
      </w:pPr>
    </w:p>
    <w:p>
      <w:pPr>
        <w:snapToGrid w:val="0"/>
        <w:spacing w:line="520" w:lineRule="exact"/>
        <w:rPr>
          <w:rFonts w:hint="eastAsia" w:hAnsi="宋体" w:cs="宋体"/>
          <w:color w:val="auto"/>
          <w:sz w:val="24"/>
          <w:szCs w:val="24"/>
          <w:highlight w:val="none"/>
        </w:rPr>
      </w:pPr>
      <w:r>
        <w:rPr>
          <w:rFonts w:hint="eastAsia" w:hAnsi="宋体" w:cs="宋体"/>
          <w:color w:val="auto"/>
          <w:sz w:val="24"/>
          <w:szCs w:val="24"/>
          <w:highlight w:val="none"/>
        </w:rPr>
        <w:t>法定代表人身份证复印件</w:t>
      </w:r>
    </w:p>
    <w:p>
      <w:pPr>
        <w:snapToGrid w:val="0"/>
        <w:spacing w:line="520" w:lineRule="exact"/>
        <w:rPr>
          <w:rFonts w:hint="eastAsia" w:hAnsi="宋体" w:cs="宋体"/>
          <w:color w:val="auto"/>
          <w:sz w:val="24"/>
          <w:szCs w:val="24"/>
          <w:highlight w:val="none"/>
        </w:rPr>
      </w:pPr>
    </w:p>
    <w:p>
      <w:pPr>
        <w:snapToGrid w:val="0"/>
        <w:spacing w:line="520" w:lineRule="exact"/>
        <w:ind w:firstLine="3960" w:firstLineChars="1650"/>
        <w:rPr>
          <w:rFonts w:hint="eastAsia" w:hAnsi="宋体" w:cs="宋体"/>
          <w:color w:val="auto"/>
          <w:sz w:val="24"/>
          <w:szCs w:val="24"/>
          <w:highlight w:val="none"/>
        </w:rPr>
      </w:pPr>
      <w:r>
        <w:rPr>
          <w:rFonts w:hint="eastAsia" w:hAnsi="宋体" w:cs="宋体"/>
          <w:color w:val="auto"/>
          <w:sz w:val="24"/>
          <w:szCs w:val="24"/>
          <w:highlight w:val="none"/>
        </w:rPr>
        <w:t>（粘贴此处）</w:t>
      </w:r>
    </w:p>
    <w:p>
      <w:pPr>
        <w:snapToGrid w:val="0"/>
        <w:spacing w:line="520" w:lineRule="exact"/>
        <w:rPr>
          <w:rFonts w:hint="eastAsia" w:hAnsi="宋体" w:cs="宋体"/>
          <w:color w:val="auto"/>
          <w:sz w:val="24"/>
          <w:szCs w:val="24"/>
          <w:highlight w:val="none"/>
        </w:rPr>
      </w:pPr>
      <w:r>
        <w:rPr>
          <w:rFonts w:hint="eastAsia" w:hAnsi="宋体" w:cs="宋体"/>
          <w:color w:val="auto"/>
          <w:sz w:val="24"/>
          <w:szCs w:val="24"/>
          <w:highlight w:val="none"/>
        </w:rPr>
        <w:t>被授权人身份证复印件</w:t>
      </w:r>
    </w:p>
    <w:p>
      <w:pPr>
        <w:snapToGrid w:val="0"/>
        <w:spacing w:line="520" w:lineRule="exact"/>
        <w:rPr>
          <w:rFonts w:hint="eastAsia" w:hAnsi="宋体" w:cs="宋体"/>
          <w:color w:val="auto"/>
          <w:sz w:val="24"/>
          <w:szCs w:val="24"/>
          <w:highlight w:val="none"/>
        </w:rPr>
      </w:pPr>
    </w:p>
    <w:p>
      <w:pPr>
        <w:snapToGrid w:val="0"/>
        <w:spacing w:line="520" w:lineRule="exact"/>
        <w:jc w:val="center"/>
        <w:rPr>
          <w:rFonts w:hint="eastAsia" w:hAnsi="宋体" w:cs="宋体"/>
          <w:color w:val="auto"/>
          <w:sz w:val="24"/>
          <w:szCs w:val="24"/>
          <w:highlight w:val="none"/>
        </w:rPr>
      </w:pPr>
    </w:p>
    <w:p>
      <w:pPr>
        <w:snapToGrid w:val="0"/>
        <w:spacing w:line="520" w:lineRule="exact"/>
        <w:jc w:val="center"/>
        <w:rPr>
          <w:rFonts w:hint="eastAsia" w:hAnsi="宋体" w:cs="宋体"/>
          <w:b/>
          <w:bCs/>
          <w:color w:val="auto"/>
          <w:sz w:val="24"/>
          <w:szCs w:val="24"/>
          <w:highlight w:val="none"/>
        </w:rPr>
      </w:pPr>
      <w:r>
        <w:rPr>
          <w:rFonts w:hint="eastAsia" w:hAnsi="宋体" w:cs="宋体"/>
          <w:color w:val="auto"/>
          <w:sz w:val="24"/>
          <w:szCs w:val="24"/>
          <w:highlight w:val="none"/>
        </w:rPr>
        <w:t>（粘贴此处）</w:t>
      </w:r>
    </w:p>
    <w:p>
      <w:pPr>
        <w:snapToGrid w:val="0"/>
        <w:spacing w:line="520" w:lineRule="exact"/>
        <w:ind w:firstLine="482" w:firstLineChars="200"/>
        <w:jc w:val="center"/>
        <w:rPr>
          <w:rFonts w:hint="eastAsia" w:hAnsi="宋体" w:cs="宋体"/>
          <w:b/>
          <w:bCs/>
          <w:color w:val="auto"/>
          <w:sz w:val="24"/>
          <w:szCs w:val="24"/>
          <w:highlight w:val="none"/>
        </w:rPr>
      </w:pPr>
      <w:r>
        <w:rPr>
          <w:rFonts w:hint="eastAsia" w:hAnsi="宋体" w:cs="宋体"/>
          <w:b/>
          <w:bCs/>
          <w:color w:val="auto"/>
          <w:sz w:val="24"/>
          <w:szCs w:val="24"/>
          <w:highlight w:val="none"/>
        </w:rPr>
        <w:t>注:参加磋商活动时被授权人将身份证原件带至开标现场备查。</w:t>
      </w:r>
    </w:p>
    <w:p>
      <w:pPr>
        <w:rPr>
          <w:rFonts w:hint="eastAsia" w:hAnsi="宋体" w:cs="宋体"/>
          <w:b/>
          <w:bCs/>
          <w:color w:val="auto"/>
          <w:sz w:val="28"/>
          <w:szCs w:val="28"/>
          <w:highlight w:val="none"/>
        </w:rPr>
        <w:sectPr>
          <w:pgSz w:w="11906" w:h="16838"/>
          <w:pgMar w:top="1304" w:right="1304" w:bottom="1304" w:left="1304" w:header="851" w:footer="992" w:gutter="0"/>
          <w:cols w:space="720" w:num="1"/>
          <w:docGrid w:type="lines" w:linePitch="328" w:charSpace="0"/>
        </w:sectPr>
      </w:pPr>
      <w:r>
        <w:rPr>
          <w:rFonts w:hint="eastAsia" w:hAnsi="宋体" w:cs="宋体"/>
          <w:b/>
          <w:bCs/>
          <w:color w:val="auto"/>
          <w:sz w:val="28"/>
          <w:szCs w:val="28"/>
          <w:highlight w:val="none"/>
        </w:rPr>
        <w:br w:type="page"/>
      </w:r>
    </w:p>
    <w:p>
      <w:pPr>
        <w:snapToGrid w:val="0"/>
        <w:spacing w:line="520" w:lineRule="exact"/>
        <w:ind w:firstLine="482" w:firstLineChars="20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3.无重大违法记录声明</w:t>
      </w:r>
    </w:p>
    <w:p>
      <w:pPr>
        <w:snapToGrid w:val="0"/>
        <w:spacing w:line="360" w:lineRule="auto"/>
        <w:rPr>
          <w:rFonts w:hint="eastAsia" w:ascii="宋体" w:hAnsi="宋体" w:cs="宋体"/>
          <w:color w:val="auto"/>
          <w:szCs w:val="24"/>
          <w:highlight w:val="none"/>
          <w:u w:val="single"/>
        </w:rPr>
      </w:pPr>
    </w:p>
    <w:p>
      <w:pPr>
        <w:snapToGrid w:val="0"/>
        <w:spacing w:line="360" w:lineRule="auto"/>
        <w:rPr>
          <w:rFonts w:hint="eastAsia" w:ascii="宋体" w:hAnsi="宋体" w:cs="宋体"/>
          <w:bCs/>
          <w:color w:val="auto"/>
          <w:sz w:val="24"/>
          <w:szCs w:val="24"/>
          <w:highlight w:val="none"/>
        </w:rPr>
      </w:pPr>
      <w:r>
        <w:rPr>
          <w:rFonts w:hint="eastAsia" w:ascii="宋体" w:hAnsi="宋体" w:cs="宋体"/>
          <w:color w:val="auto"/>
          <w:szCs w:val="24"/>
          <w:highlight w:val="none"/>
          <w:u w:val="single"/>
        </w:rPr>
        <w:t xml:space="preserve">                             </w:t>
      </w:r>
      <w:r>
        <w:rPr>
          <w:rFonts w:hint="eastAsia" w:ascii="宋体" w:hAnsi="宋体" w:cs="宋体"/>
          <w:bCs/>
          <w:color w:val="auto"/>
          <w:sz w:val="24"/>
          <w:szCs w:val="24"/>
          <w:highlight w:val="none"/>
        </w:rPr>
        <w:t>：</w:t>
      </w:r>
    </w:p>
    <w:p>
      <w:pPr>
        <w:spacing w:line="48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我单位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（供应商名称）郑重声明：</w:t>
      </w:r>
    </w:p>
    <w:p>
      <w:pPr>
        <w:spacing w:line="48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参加本次采购活动前3年内，我公司在经营活动中没有因违法经营受到刑事处罚或者责令停产停业、吊销许可证或者执照、较大数额罚款等行政处罚。</w:t>
      </w:r>
    </w:p>
    <w:p>
      <w:pPr>
        <w:spacing w:line="48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在本项目投标截止时间前，没有被“信用中国”（www.creditchina.gov.cn）、“中国政府采购网”（www.ccgp.gov.cn）网站列入失信被执行人、重大税收违法案件当事人名单、政府采购严重违法失信行为记录名单。</w:t>
      </w:r>
    </w:p>
    <w:p>
      <w:pPr>
        <w:spacing w:line="480" w:lineRule="auto"/>
        <w:ind w:firstLine="480"/>
        <w:rPr>
          <w:rFonts w:hint="eastAsia" w:ascii="宋体" w:hAnsi="宋体" w:cs="宋体"/>
          <w:color w:val="auto"/>
          <w:sz w:val="24"/>
          <w:szCs w:val="24"/>
          <w:highlight w:val="none"/>
        </w:rPr>
      </w:pPr>
    </w:p>
    <w:p>
      <w:pPr>
        <w:spacing w:line="48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声明人：（公章）</w:t>
      </w:r>
    </w:p>
    <w:p>
      <w:pPr>
        <w:snapToGrid w:val="0"/>
        <w:spacing w:line="42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pPr>
        <w:rPr>
          <w:rFonts w:hint="eastAsia" w:hAnsi="宋体" w:cs="宋体"/>
          <w:b/>
          <w:bCs/>
          <w:color w:val="auto"/>
          <w:sz w:val="28"/>
          <w:szCs w:val="28"/>
          <w:highlight w:val="none"/>
        </w:rPr>
      </w:pPr>
    </w:p>
    <w:p>
      <w:pPr>
        <w:snapToGrid w:val="0"/>
        <w:spacing w:line="42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4.关于资格文件的声明函</w:t>
      </w:r>
    </w:p>
    <w:p>
      <w:pPr>
        <w:pStyle w:val="8"/>
        <w:overflowPunct w:val="0"/>
        <w:spacing w:line="520" w:lineRule="exact"/>
        <w:jc w:val="center"/>
        <w:rPr>
          <w:rFonts w:hint="eastAsia" w:ascii="宋体" w:hAnsi="宋体" w:eastAsia="宋体" w:cs="宋体"/>
          <w:color w:val="auto"/>
          <w:sz w:val="28"/>
          <w:szCs w:val="28"/>
          <w:highlight w:val="none"/>
        </w:rPr>
      </w:pPr>
    </w:p>
    <w:p>
      <w:pPr>
        <w:pStyle w:val="8"/>
        <w:overflowPunct w:val="0"/>
        <w:spacing w:line="520" w:lineRule="exact"/>
        <w:ind w:firstLine="0"/>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rPr>
        <w:t>南通市海洋发展局</w:t>
      </w:r>
      <w:r>
        <w:rPr>
          <w:rFonts w:hint="eastAsia" w:ascii="宋体" w:hAnsi="宋体" w:eastAsia="宋体" w:cs="宋体"/>
          <w:color w:val="auto"/>
          <w:szCs w:val="24"/>
          <w:highlight w:val="none"/>
        </w:rPr>
        <w:t>：</w:t>
      </w:r>
    </w:p>
    <w:p>
      <w:pPr>
        <w:pStyle w:val="8"/>
        <w:overflowPunct w:val="0"/>
        <w:spacing w:line="520" w:lineRule="exact"/>
        <w:ind w:firstLine="66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本公司愿就由贵单位组织实施的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（项目名称)竞争性磋商活动进行响应。</w:t>
      </w:r>
    </w:p>
    <w:p>
      <w:pPr>
        <w:pStyle w:val="8"/>
        <w:overflowPunct w:val="0"/>
        <w:spacing w:line="520" w:lineRule="exact"/>
        <w:ind w:firstLine="66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公司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pPr>
        <w:pStyle w:val="8"/>
        <w:overflowPunct w:val="0"/>
        <w:spacing w:line="520" w:lineRule="exact"/>
        <w:ind w:firstLine="66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本公司所提交的响应文件中所有关于磋商资格的文件、证明和陈述均是真实的、准确的。若与真实情况不符，本公司愿意承担由此而产生的一切后果。</w:t>
      </w:r>
    </w:p>
    <w:p>
      <w:pPr>
        <w:pStyle w:val="8"/>
        <w:overflowPunct w:val="0"/>
        <w:spacing w:line="520" w:lineRule="exact"/>
        <w:rPr>
          <w:rFonts w:hint="eastAsia" w:ascii="宋体" w:hAnsi="宋体" w:eastAsia="宋体" w:cs="宋体"/>
          <w:color w:val="auto"/>
          <w:szCs w:val="24"/>
          <w:highlight w:val="none"/>
        </w:rPr>
      </w:pPr>
    </w:p>
    <w:p>
      <w:pPr>
        <w:pStyle w:val="8"/>
        <w:overflowPunct w:val="0"/>
        <w:spacing w:line="520" w:lineRule="exact"/>
        <w:rPr>
          <w:rFonts w:hint="eastAsia" w:ascii="宋体" w:hAnsi="宋体" w:eastAsia="宋体" w:cs="宋体"/>
          <w:color w:val="auto"/>
          <w:szCs w:val="24"/>
          <w:highlight w:val="none"/>
        </w:rPr>
      </w:pPr>
    </w:p>
    <w:p>
      <w:pPr>
        <w:pStyle w:val="8"/>
        <w:overflowPunct w:val="0"/>
        <w:spacing w:line="52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t xml:space="preserve">       </w:t>
      </w:r>
    </w:p>
    <w:p>
      <w:pPr>
        <w:pStyle w:val="8"/>
        <w:overflowPunct w:val="0"/>
        <w:spacing w:line="520" w:lineRule="exact"/>
        <w:ind w:left="1700" w:firstLine="425"/>
        <w:rPr>
          <w:rFonts w:hint="eastAsia" w:ascii="宋体" w:hAnsi="宋体" w:eastAsia="宋体" w:cs="宋体"/>
          <w:color w:val="auto"/>
          <w:szCs w:val="24"/>
          <w:highlight w:val="none"/>
        </w:rPr>
      </w:pPr>
    </w:p>
    <w:p>
      <w:pPr>
        <w:pStyle w:val="8"/>
        <w:overflowPunct w:val="0"/>
        <w:spacing w:line="52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（供应商）公章： </w:t>
      </w:r>
    </w:p>
    <w:p>
      <w:pPr>
        <w:pStyle w:val="8"/>
        <w:overflowPunct w:val="0"/>
        <w:spacing w:line="520" w:lineRule="exact"/>
        <w:ind w:firstLine="864" w:firstLineChars="36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法定代表人（签字或盖章）：</w:t>
      </w:r>
    </w:p>
    <w:p>
      <w:pPr>
        <w:pStyle w:val="8"/>
        <w:overflowPunct w:val="0"/>
        <w:spacing w:line="520" w:lineRule="exact"/>
        <w:ind w:left="1700" w:firstLine="425"/>
        <w:rPr>
          <w:rFonts w:hint="eastAsia" w:ascii="宋体" w:hAnsi="宋体" w:eastAsia="宋体" w:cs="宋体"/>
          <w:color w:val="auto"/>
          <w:szCs w:val="24"/>
          <w:highlight w:val="none"/>
        </w:rPr>
      </w:pPr>
    </w:p>
    <w:p>
      <w:pPr>
        <w:pStyle w:val="8"/>
        <w:overflowPunct w:val="0"/>
        <w:spacing w:line="520" w:lineRule="exact"/>
        <w:rPr>
          <w:rFonts w:hint="eastAsia" w:ascii="宋体" w:hAnsi="宋体" w:eastAsia="宋体" w:cs="宋体"/>
          <w:color w:val="auto"/>
          <w:szCs w:val="24"/>
          <w:highlight w:val="none"/>
        </w:rPr>
      </w:pPr>
    </w:p>
    <w:p>
      <w:pPr>
        <w:pStyle w:val="8"/>
        <w:overflowPunct w:val="0"/>
        <w:spacing w:line="520" w:lineRule="exact"/>
        <w:ind w:right="56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年</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t xml:space="preserve"> 月 </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t>日</w:t>
      </w:r>
    </w:p>
    <w:p>
      <w:pPr>
        <w:snapToGrid w:val="0"/>
        <w:spacing w:line="480" w:lineRule="exact"/>
        <w:jc w:val="center"/>
        <w:rPr>
          <w:rFonts w:hint="eastAsia" w:ascii="宋体" w:hAnsi="宋体" w:cs="宋体"/>
          <w:b/>
          <w:bCs/>
          <w:color w:val="auto"/>
          <w:sz w:val="28"/>
          <w:szCs w:val="28"/>
          <w:highlight w:val="none"/>
        </w:rPr>
      </w:pPr>
      <w:r>
        <w:rPr>
          <w:rFonts w:hint="eastAsia" w:hAnsi="宋体" w:cs="宋体"/>
          <w:color w:val="auto"/>
          <w:sz w:val="24"/>
          <w:szCs w:val="24"/>
          <w:highlight w:val="none"/>
        </w:rPr>
        <w:br w:type="page"/>
      </w:r>
      <w:r>
        <w:rPr>
          <w:rFonts w:hint="eastAsia" w:ascii="宋体" w:hAnsi="宋体" w:cs="宋体"/>
          <w:b/>
          <w:bCs/>
          <w:color w:val="auto"/>
          <w:sz w:val="28"/>
          <w:szCs w:val="28"/>
          <w:highlight w:val="none"/>
        </w:rPr>
        <w:t>5.竞争性磋商响应函</w:t>
      </w:r>
    </w:p>
    <w:p>
      <w:pPr>
        <w:snapToGrid w:val="0"/>
        <w:spacing w:line="460" w:lineRule="exact"/>
        <w:rPr>
          <w:rFonts w:hint="eastAsia" w:hAnsi="宋体" w:cs="宋体"/>
          <w:color w:val="auto"/>
          <w:sz w:val="24"/>
          <w:szCs w:val="24"/>
          <w:highlight w:val="none"/>
        </w:rPr>
      </w:pPr>
      <w:r>
        <w:rPr>
          <w:rFonts w:hint="eastAsia" w:ascii="方正仿宋_GBK"/>
          <w:color w:val="auto"/>
          <w:sz w:val="24"/>
          <w:szCs w:val="24"/>
          <w:highlight w:val="none"/>
          <w:u w:val="single"/>
        </w:rPr>
        <w:t>南通市海洋发展局</w:t>
      </w:r>
      <w:r>
        <w:rPr>
          <w:rFonts w:hint="eastAsia" w:hAnsi="宋体" w:cs="宋体"/>
          <w:color w:val="auto"/>
          <w:sz w:val="24"/>
          <w:szCs w:val="24"/>
          <w:highlight w:val="none"/>
        </w:rPr>
        <w:t>：</w:t>
      </w:r>
    </w:p>
    <w:p>
      <w:pPr>
        <w:spacing w:line="600" w:lineRule="exact"/>
        <w:ind w:firstLine="480" w:firstLineChars="200"/>
        <w:rPr>
          <w:color w:val="auto"/>
          <w:sz w:val="24"/>
          <w:szCs w:val="22"/>
          <w:highlight w:val="none"/>
        </w:rPr>
      </w:pPr>
      <w:r>
        <w:rPr>
          <w:rFonts w:hint="eastAsia"/>
          <w:color w:val="auto"/>
          <w:sz w:val="24"/>
          <w:szCs w:val="22"/>
          <w:highlight w:val="none"/>
        </w:rPr>
        <w:t>依据贵单位委托代理机构组织的</w:t>
      </w:r>
      <w:r>
        <w:rPr>
          <w:rFonts w:hint="eastAsia"/>
          <w:color w:val="auto"/>
          <w:sz w:val="24"/>
          <w:szCs w:val="22"/>
          <w:highlight w:val="none"/>
          <w:u w:val="single"/>
        </w:rPr>
        <w:t xml:space="preserve">                </w:t>
      </w:r>
      <w:r>
        <w:rPr>
          <w:rFonts w:hint="eastAsia"/>
          <w:color w:val="auto"/>
          <w:sz w:val="24"/>
          <w:szCs w:val="22"/>
          <w:highlight w:val="none"/>
        </w:rPr>
        <w:t>（磋商项目名称)项目竞争性磋商的邀请，我方授权</w:t>
      </w:r>
      <w:r>
        <w:rPr>
          <w:rFonts w:hint="eastAsia"/>
          <w:color w:val="auto"/>
          <w:sz w:val="24"/>
          <w:szCs w:val="22"/>
          <w:highlight w:val="none"/>
          <w:u w:val="single"/>
        </w:rPr>
        <w:t xml:space="preserve">    </w:t>
      </w:r>
      <w:r>
        <w:rPr>
          <w:rFonts w:hint="eastAsia"/>
          <w:color w:val="auto"/>
          <w:sz w:val="24"/>
          <w:szCs w:val="22"/>
          <w:highlight w:val="none"/>
        </w:rPr>
        <w:t>（姓名）</w:t>
      </w:r>
      <w:r>
        <w:rPr>
          <w:rFonts w:hint="eastAsia"/>
          <w:color w:val="auto"/>
          <w:sz w:val="24"/>
          <w:szCs w:val="22"/>
          <w:highlight w:val="none"/>
          <w:u w:val="single"/>
        </w:rPr>
        <w:t xml:space="preserve">    </w:t>
      </w:r>
      <w:r>
        <w:rPr>
          <w:rFonts w:hint="eastAsia"/>
          <w:color w:val="auto"/>
          <w:sz w:val="24"/>
          <w:szCs w:val="22"/>
          <w:highlight w:val="none"/>
        </w:rPr>
        <w:t>（职务）为全权代表参加该项目的磋商工作，全权处理本次竞争性磋商的有关事宜。同时，我公司声明如下：</w:t>
      </w:r>
    </w:p>
    <w:p>
      <w:pPr>
        <w:spacing w:line="600" w:lineRule="exact"/>
        <w:ind w:firstLine="480" w:firstLineChars="200"/>
        <w:rPr>
          <w:color w:val="auto"/>
          <w:sz w:val="24"/>
          <w:szCs w:val="22"/>
          <w:highlight w:val="none"/>
        </w:rPr>
      </w:pPr>
      <w:r>
        <w:rPr>
          <w:rFonts w:hint="eastAsia"/>
          <w:color w:val="auto"/>
          <w:sz w:val="24"/>
          <w:szCs w:val="22"/>
          <w:highlight w:val="none"/>
        </w:rPr>
        <w:t>1.同意并接受竞争性磋商文件的各项要求，遵守竞争性磋商文件中的各项规定，按竞争性磋商文件的要求提供报价。</w:t>
      </w:r>
    </w:p>
    <w:p>
      <w:pPr>
        <w:spacing w:line="600" w:lineRule="exact"/>
        <w:ind w:firstLine="480" w:firstLineChars="200"/>
        <w:rPr>
          <w:color w:val="auto"/>
          <w:sz w:val="24"/>
          <w:szCs w:val="22"/>
          <w:highlight w:val="none"/>
        </w:rPr>
      </w:pPr>
      <w:r>
        <w:rPr>
          <w:rFonts w:hint="eastAsia"/>
          <w:color w:val="auto"/>
          <w:sz w:val="24"/>
          <w:szCs w:val="22"/>
          <w:highlight w:val="none"/>
        </w:rPr>
        <w:t>2.我公司已经详细阅读了竞争性磋商文件的全部内容，我方已完全清晰理解竞争性磋商文件的要求，不存在任何含糊不清和误解之处，同意放弃对竞争性磋商文件所表述的内容提出异议和质疑的权利。</w:t>
      </w:r>
    </w:p>
    <w:p>
      <w:pPr>
        <w:spacing w:line="600" w:lineRule="exact"/>
        <w:ind w:firstLine="480" w:firstLineChars="200"/>
        <w:rPr>
          <w:color w:val="auto"/>
          <w:sz w:val="24"/>
          <w:szCs w:val="22"/>
          <w:highlight w:val="none"/>
        </w:rPr>
      </w:pPr>
      <w:r>
        <w:rPr>
          <w:rFonts w:hint="eastAsia"/>
          <w:color w:val="auto"/>
          <w:sz w:val="24"/>
          <w:szCs w:val="22"/>
          <w:highlight w:val="none"/>
        </w:rPr>
        <w:t>3.我公司已毫无保留地向贵方提供一切所需的证明材料。</w:t>
      </w:r>
    </w:p>
    <w:p>
      <w:pPr>
        <w:spacing w:line="600" w:lineRule="exact"/>
        <w:ind w:firstLine="480" w:firstLineChars="200"/>
        <w:rPr>
          <w:color w:val="auto"/>
          <w:sz w:val="24"/>
          <w:szCs w:val="22"/>
          <w:highlight w:val="none"/>
        </w:rPr>
      </w:pPr>
      <w:r>
        <w:rPr>
          <w:rFonts w:hint="eastAsia"/>
          <w:color w:val="auto"/>
          <w:sz w:val="24"/>
          <w:szCs w:val="22"/>
          <w:highlight w:val="none"/>
        </w:rPr>
        <w:t>4.我公司承诺在本次磋商响应中提供的一切文件，无论是原件还是复印件均真实有效，绝无任何虚假、伪造和夸大的成份。否则，愿承担相应的后果和法律责任。</w:t>
      </w:r>
    </w:p>
    <w:p>
      <w:pPr>
        <w:spacing w:line="600" w:lineRule="exact"/>
        <w:ind w:firstLine="480" w:firstLineChars="200"/>
        <w:rPr>
          <w:b/>
          <w:color w:val="auto"/>
          <w:sz w:val="24"/>
          <w:szCs w:val="22"/>
          <w:highlight w:val="none"/>
        </w:rPr>
      </w:pPr>
      <w:r>
        <w:rPr>
          <w:rFonts w:hint="eastAsia"/>
          <w:color w:val="auto"/>
          <w:sz w:val="24"/>
          <w:szCs w:val="22"/>
          <w:highlight w:val="none"/>
        </w:rPr>
        <w:t>5.</w:t>
      </w:r>
      <w:r>
        <w:rPr>
          <w:rFonts w:hint="eastAsia"/>
          <w:b/>
          <w:color w:val="auto"/>
          <w:sz w:val="24"/>
          <w:szCs w:val="22"/>
          <w:highlight w:val="none"/>
        </w:rPr>
        <w:t>我公司尊重磋商小组所作的评定结果，同时清楚理解到报价最低并非意味着必定获得成交资格。</w:t>
      </w:r>
    </w:p>
    <w:p>
      <w:pPr>
        <w:spacing w:line="600" w:lineRule="exact"/>
        <w:ind w:firstLine="480" w:firstLineChars="200"/>
        <w:rPr>
          <w:color w:val="auto"/>
          <w:sz w:val="24"/>
          <w:szCs w:val="22"/>
          <w:highlight w:val="none"/>
        </w:rPr>
      </w:pPr>
      <w:r>
        <w:rPr>
          <w:rFonts w:hint="eastAsia"/>
          <w:color w:val="auto"/>
          <w:sz w:val="24"/>
          <w:szCs w:val="22"/>
          <w:highlight w:val="none"/>
        </w:rPr>
        <w:t>6.一旦成交，我方承诺无正当理由拒绝签订合同，同意被贵方取消成交资格。</w:t>
      </w:r>
    </w:p>
    <w:p>
      <w:pPr>
        <w:spacing w:line="600" w:lineRule="exact"/>
        <w:ind w:firstLine="480" w:firstLineChars="200"/>
        <w:rPr>
          <w:b/>
          <w:color w:val="auto"/>
          <w:sz w:val="24"/>
          <w:szCs w:val="22"/>
          <w:highlight w:val="none"/>
        </w:rPr>
      </w:pPr>
      <w:r>
        <w:rPr>
          <w:rFonts w:hint="eastAsia"/>
          <w:color w:val="auto"/>
          <w:sz w:val="24"/>
          <w:szCs w:val="22"/>
          <w:highlight w:val="none"/>
        </w:rPr>
        <w:t>7.</w:t>
      </w:r>
      <w:r>
        <w:rPr>
          <w:rFonts w:hint="eastAsia"/>
          <w:b/>
          <w:color w:val="auto"/>
          <w:sz w:val="24"/>
          <w:szCs w:val="22"/>
          <w:highlight w:val="none"/>
        </w:rPr>
        <w:t>一旦成交，我方将根据竞争性磋商文件的规定，严格履行合同规定的责任和义务，并保证在合同约定的期限内完成全部合同项目。</w:t>
      </w:r>
    </w:p>
    <w:p>
      <w:pPr>
        <w:jc w:val="right"/>
        <w:rPr>
          <w:color w:val="auto"/>
          <w:highlight w:val="none"/>
        </w:rPr>
      </w:pPr>
    </w:p>
    <w:p>
      <w:pPr>
        <w:jc w:val="right"/>
        <w:rPr>
          <w:rFonts w:hint="eastAsia" w:hAnsi="宋体" w:cs="宋体"/>
          <w:color w:val="auto"/>
          <w:sz w:val="24"/>
          <w:szCs w:val="24"/>
          <w:highlight w:val="none"/>
        </w:rPr>
      </w:pPr>
    </w:p>
    <w:p>
      <w:pPr>
        <w:jc w:val="right"/>
        <w:rPr>
          <w:rFonts w:hint="eastAsia" w:hAnsi="宋体" w:cs="宋体"/>
          <w:color w:val="auto"/>
          <w:sz w:val="24"/>
          <w:szCs w:val="24"/>
          <w:highlight w:val="none"/>
        </w:rPr>
      </w:pPr>
      <w:r>
        <w:rPr>
          <w:rFonts w:hint="eastAsia" w:hAnsi="宋体" w:cs="宋体"/>
          <w:color w:val="auto"/>
          <w:sz w:val="24"/>
          <w:szCs w:val="24"/>
          <w:highlight w:val="none"/>
        </w:rPr>
        <w:t>竞争性磋商响应单位：</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（加盖公章）</w:t>
      </w:r>
    </w:p>
    <w:p>
      <w:pPr>
        <w:jc w:val="right"/>
        <w:rPr>
          <w:rFonts w:hint="eastAsia" w:hAnsi="宋体" w:cs="宋体"/>
          <w:color w:val="auto"/>
          <w:sz w:val="24"/>
          <w:szCs w:val="24"/>
          <w:highlight w:val="none"/>
        </w:rPr>
      </w:pPr>
      <w:r>
        <w:rPr>
          <w:rFonts w:hint="eastAsia" w:hAnsi="宋体" w:cs="宋体"/>
          <w:color w:val="auto"/>
          <w:sz w:val="24"/>
          <w:szCs w:val="24"/>
          <w:highlight w:val="none"/>
        </w:rPr>
        <w:t>法定代表人或被授权人：</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（签字或盖章）</w:t>
      </w:r>
    </w:p>
    <w:p>
      <w:pPr>
        <w:jc w:val="right"/>
        <w:rPr>
          <w:rFonts w:hint="eastAsia" w:hAnsi="宋体" w:cs="宋体"/>
          <w:color w:val="auto"/>
          <w:sz w:val="24"/>
          <w:szCs w:val="24"/>
          <w:highlight w:val="none"/>
        </w:rPr>
      </w:pPr>
      <w:r>
        <w:rPr>
          <w:rFonts w:hint="eastAsia" w:hAnsi="宋体" w:cs="宋体"/>
          <w:color w:val="auto"/>
          <w:sz w:val="24"/>
          <w:szCs w:val="24"/>
          <w:highlight w:val="none"/>
        </w:rPr>
        <w:t xml:space="preserve"> 年      月     日</w:t>
      </w:r>
    </w:p>
    <w:p>
      <w:pPr>
        <w:snapToGrid w:val="0"/>
        <w:spacing w:line="520" w:lineRule="exact"/>
        <w:jc w:val="center"/>
        <w:outlineLvl w:val="2"/>
        <w:rPr>
          <w:rFonts w:hint="eastAsia" w:ascii="宋体" w:hAnsi="宋体" w:cs="宋体"/>
          <w:b/>
          <w:bCs/>
          <w:color w:val="auto"/>
          <w:sz w:val="28"/>
          <w:szCs w:val="28"/>
          <w:highlight w:val="none"/>
        </w:rPr>
      </w:pPr>
      <w:r>
        <w:rPr>
          <w:rFonts w:hint="eastAsia" w:ascii="宋体" w:hAnsi="宋体" w:cs="宋体"/>
          <w:color w:val="auto"/>
          <w:highlight w:val="none"/>
        </w:rPr>
        <w:br w:type="page"/>
      </w:r>
      <w:r>
        <w:rPr>
          <w:rFonts w:hint="eastAsia" w:ascii="宋体" w:hAnsi="宋体" w:cs="宋体"/>
          <w:b/>
          <w:bCs/>
          <w:color w:val="auto"/>
          <w:sz w:val="28"/>
          <w:szCs w:val="28"/>
          <w:highlight w:val="none"/>
        </w:rPr>
        <w:t>6.磋商响应报价表（首次）</w:t>
      </w:r>
    </w:p>
    <w:tbl>
      <w:tblPr>
        <w:tblStyle w:val="24"/>
        <w:tblpPr w:leftFromText="180" w:rightFromText="180" w:vertAnchor="text" w:horzAnchor="page" w:tblpXSpec="center" w:tblpY="460"/>
        <w:tblOverlap w:val="never"/>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0"/>
        <w:gridCol w:w="4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exact"/>
          <w:jc w:val="center"/>
        </w:trPr>
        <w:tc>
          <w:tcPr>
            <w:tcW w:w="4370" w:type="dxa"/>
            <w:vAlign w:val="center"/>
          </w:tcPr>
          <w:p>
            <w:pPr>
              <w:spacing w:line="520" w:lineRule="exact"/>
              <w:ind w:left="1" w:firstLine="27" w:firstLineChars="11"/>
              <w:jc w:val="center"/>
              <w:textAlignment w:val="bottom"/>
              <w:rPr>
                <w:b/>
                <w:color w:val="auto"/>
                <w:kern w:val="0"/>
                <w:sz w:val="24"/>
                <w:szCs w:val="24"/>
                <w:highlight w:val="none"/>
              </w:rPr>
            </w:pPr>
            <w:r>
              <w:rPr>
                <w:rFonts w:hint="eastAsia"/>
                <w:b/>
                <w:color w:val="auto"/>
                <w:kern w:val="0"/>
                <w:sz w:val="24"/>
                <w:szCs w:val="24"/>
                <w:highlight w:val="none"/>
              </w:rPr>
              <w:t>项目名称</w:t>
            </w:r>
          </w:p>
        </w:tc>
        <w:tc>
          <w:tcPr>
            <w:tcW w:w="4389" w:type="dxa"/>
            <w:vAlign w:val="center"/>
          </w:tcPr>
          <w:p>
            <w:pPr>
              <w:spacing w:line="520" w:lineRule="exact"/>
              <w:ind w:left="1" w:firstLine="27" w:firstLineChars="11"/>
              <w:jc w:val="center"/>
              <w:textAlignment w:val="bottom"/>
              <w:rPr>
                <w:b/>
                <w:color w:val="auto"/>
                <w:kern w:val="0"/>
                <w:sz w:val="24"/>
                <w:szCs w:val="24"/>
                <w:highlight w:val="none"/>
              </w:rPr>
            </w:pPr>
            <w:r>
              <w:rPr>
                <w:rFonts w:hint="eastAsia" w:hAnsi="宋体" w:cs="宋体"/>
                <w:b/>
                <w:color w:val="auto"/>
                <w:sz w:val="24"/>
                <w:szCs w:val="24"/>
                <w:highlight w:val="none"/>
              </w:rPr>
              <w:t>报价（首次）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exact"/>
          <w:jc w:val="center"/>
        </w:trPr>
        <w:tc>
          <w:tcPr>
            <w:tcW w:w="4370" w:type="dxa"/>
            <w:vAlign w:val="center"/>
          </w:tcPr>
          <w:p>
            <w:pPr>
              <w:widowControl/>
              <w:jc w:val="center"/>
              <w:rPr>
                <w:rFonts w:hint="eastAsia" w:hAnsi="宋体" w:cs="宋体"/>
                <w:color w:val="auto"/>
                <w:kern w:val="0"/>
                <w:sz w:val="20"/>
                <w:highlight w:val="none"/>
              </w:rPr>
            </w:pPr>
          </w:p>
        </w:tc>
        <w:tc>
          <w:tcPr>
            <w:tcW w:w="4389" w:type="dxa"/>
            <w:vAlign w:val="center"/>
          </w:tcPr>
          <w:p>
            <w:pPr>
              <w:widowControl/>
              <w:jc w:val="left"/>
              <w:rPr>
                <w:rFonts w:hint="eastAsia" w:ascii="宋体" w:hAnsi="宋体" w:cs="宋体"/>
                <w:color w:val="auto"/>
                <w:szCs w:val="21"/>
                <w:highlight w:val="none"/>
              </w:rPr>
            </w:pPr>
            <w:r>
              <w:rPr>
                <w:rFonts w:hint="eastAsia" w:hAnsi="宋体" w:cs="宋体"/>
                <w:color w:val="auto"/>
                <w:kern w:val="0"/>
                <w:sz w:val="20"/>
                <w:highlight w:val="none"/>
              </w:rPr>
              <w:t>_________________</w:t>
            </w:r>
            <w:r>
              <w:rPr>
                <w:rFonts w:hint="eastAsia" w:ascii="宋体" w:hAnsi="宋体" w:cs="宋体"/>
                <w:color w:val="auto"/>
                <w:szCs w:val="21"/>
                <w:highlight w:val="none"/>
              </w:rPr>
              <w:t>元</w:t>
            </w:r>
          </w:p>
          <w:p>
            <w:pPr>
              <w:pStyle w:val="2"/>
              <w:rPr>
                <w:color w:val="auto"/>
                <w:highlight w:val="none"/>
              </w:rPr>
            </w:pPr>
            <w:r>
              <w:rPr>
                <w:rFonts w:hint="eastAsia" w:ascii="宋体" w:hAnsi="宋体" w:cs="宋体"/>
                <w:color w:val="auto"/>
                <w:szCs w:val="21"/>
                <w:highlight w:val="none"/>
              </w:rPr>
              <w:t>大写</w:t>
            </w:r>
            <w:r>
              <w:rPr>
                <w:rFonts w:hint="eastAsia" w:hAnsi="宋体" w:cs="宋体"/>
                <w:color w:val="auto"/>
                <w:kern w:val="0"/>
                <w:sz w:val="20"/>
                <w:highlight w:val="none"/>
              </w:rPr>
              <w:t>_________________</w:t>
            </w:r>
          </w:p>
        </w:tc>
      </w:tr>
    </w:tbl>
    <w:p>
      <w:pPr>
        <w:kinsoku w:val="0"/>
        <w:topLinePunct/>
        <w:snapToGrid w:val="0"/>
        <w:spacing w:line="520" w:lineRule="exact"/>
        <w:rPr>
          <w:rFonts w:ascii="方正仿宋_GBK"/>
          <w:color w:val="auto"/>
          <w:sz w:val="24"/>
          <w:szCs w:val="24"/>
          <w:highlight w:val="none"/>
        </w:rPr>
      </w:pPr>
    </w:p>
    <w:p>
      <w:pPr>
        <w:kinsoku w:val="0"/>
        <w:topLinePunct/>
        <w:snapToGrid w:val="0"/>
        <w:spacing w:line="520" w:lineRule="exact"/>
        <w:rPr>
          <w:rFonts w:ascii="方正仿宋_GBK"/>
          <w:color w:val="auto"/>
          <w:sz w:val="24"/>
          <w:szCs w:val="24"/>
          <w:highlight w:val="none"/>
        </w:rPr>
      </w:pPr>
    </w:p>
    <w:p>
      <w:pPr>
        <w:kinsoku w:val="0"/>
        <w:topLinePunct/>
        <w:snapToGrid w:val="0"/>
        <w:spacing w:line="520" w:lineRule="exact"/>
        <w:rPr>
          <w:rFonts w:ascii="方正仿宋_GBK"/>
          <w:color w:val="auto"/>
          <w:sz w:val="24"/>
          <w:szCs w:val="24"/>
          <w:highlight w:val="none"/>
        </w:rPr>
      </w:pPr>
    </w:p>
    <w:p>
      <w:pPr>
        <w:pStyle w:val="2"/>
        <w:rPr>
          <w:color w:val="auto"/>
          <w:highlight w:val="none"/>
        </w:rPr>
      </w:pPr>
    </w:p>
    <w:p>
      <w:pPr>
        <w:kinsoku w:val="0"/>
        <w:topLinePunct/>
        <w:snapToGrid w:val="0"/>
        <w:spacing w:line="520" w:lineRule="exact"/>
        <w:rPr>
          <w:rFonts w:ascii="方正仿宋_GBK"/>
          <w:color w:val="auto"/>
          <w:sz w:val="24"/>
          <w:szCs w:val="24"/>
          <w:highlight w:val="none"/>
        </w:rPr>
      </w:pPr>
    </w:p>
    <w:p>
      <w:pPr>
        <w:kinsoku w:val="0"/>
        <w:topLinePunct/>
        <w:snapToGrid w:val="0"/>
        <w:spacing w:line="520" w:lineRule="exact"/>
        <w:rPr>
          <w:rFonts w:ascii="方正仿宋_GBK"/>
          <w:color w:val="auto"/>
          <w:sz w:val="24"/>
          <w:szCs w:val="24"/>
          <w:highlight w:val="none"/>
        </w:rPr>
      </w:pPr>
      <w:r>
        <w:rPr>
          <w:rFonts w:hint="eastAsia" w:ascii="方正仿宋_GBK"/>
          <w:color w:val="auto"/>
          <w:sz w:val="24"/>
          <w:szCs w:val="24"/>
          <w:highlight w:val="none"/>
        </w:rPr>
        <w:t xml:space="preserve">供应商：（盖章）             </w:t>
      </w:r>
    </w:p>
    <w:p>
      <w:pPr>
        <w:kinsoku w:val="0"/>
        <w:topLinePunct/>
        <w:snapToGrid w:val="0"/>
        <w:spacing w:line="520" w:lineRule="exact"/>
        <w:rPr>
          <w:rFonts w:ascii="方正仿宋_GBK"/>
          <w:color w:val="auto"/>
          <w:sz w:val="24"/>
          <w:szCs w:val="24"/>
          <w:highlight w:val="none"/>
        </w:rPr>
      </w:pPr>
      <w:r>
        <w:rPr>
          <w:rFonts w:hint="eastAsia" w:ascii="方正仿宋_GBK"/>
          <w:color w:val="auto"/>
          <w:sz w:val="24"/>
          <w:szCs w:val="24"/>
          <w:highlight w:val="none"/>
        </w:rPr>
        <w:t>法定代表人或被授权人（签字）：</w:t>
      </w:r>
    </w:p>
    <w:p>
      <w:pPr>
        <w:kinsoku w:val="0"/>
        <w:topLinePunct/>
        <w:snapToGrid w:val="0"/>
        <w:spacing w:line="520" w:lineRule="exact"/>
        <w:rPr>
          <w:rFonts w:ascii="方正仿宋_GBK"/>
          <w:color w:val="auto"/>
          <w:sz w:val="24"/>
          <w:szCs w:val="24"/>
          <w:highlight w:val="none"/>
        </w:rPr>
      </w:pPr>
      <w:r>
        <w:rPr>
          <w:rFonts w:hint="eastAsia" w:ascii="方正仿宋_GBK"/>
          <w:color w:val="auto"/>
          <w:sz w:val="24"/>
          <w:szCs w:val="24"/>
          <w:highlight w:val="none"/>
        </w:rPr>
        <w:t>日期：</w:t>
      </w:r>
    </w:p>
    <w:p>
      <w:pPr>
        <w:kinsoku w:val="0"/>
        <w:topLinePunct/>
        <w:snapToGrid w:val="0"/>
        <w:spacing w:line="520" w:lineRule="exact"/>
        <w:rPr>
          <w:rFonts w:ascii="方正仿宋_GBK"/>
          <w:b/>
          <w:color w:val="auto"/>
          <w:sz w:val="24"/>
          <w:szCs w:val="24"/>
          <w:highlight w:val="none"/>
        </w:rPr>
      </w:pPr>
    </w:p>
    <w:p>
      <w:pPr>
        <w:kinsoku w:val="0"/>
        <w:topLinePunct/>
        <w:snapToGrid w:val="0"/>
        <w:spacing w:line="420" w:lineRule="exact"/>
        <w:rPr>
          <w:rFonts w:ascii="方正仿宋_GBK"/>
          <w:b/>
          <w:color w:val="auto"/>
          <w:szCs w:val="21"/>
          <w:highlight w:val="none"/>
        </w:rPr>
      </w:pPr>
      <w:r>
        <w:rPr>
          <w:rFonts w:hint="eastAsia" w:ascii="方正仿宋_GBK"/>
          <w:b/>
          <w:color w:val="auto"/>
          <w:szCs w:val="21"/>
          <w:highlight w:val="none"/>
        </w:rPr>
        <w:t>注：</w:t>
      </w:r>
    </w:p>
    <w:p>
      <w:pPr>
        <w:numPr>
          <w:ilvl w:val="0"/>
          <w:numId w:val="3"/>
        </w:numPr>
        <w:kinsoku w:val="0"/>
        <w:topLinePunct/>
        <w:snapToGrid w:val="0"/>
        <w:spacing w:line="420" w:lineRule="exact"/>
        <w:rPr>
          <w:rFonts w:hint="eastAsia" w:ascii="宋体" w:hAnsi="宋体" w:cs="宋体"/>
          <w:color w:val="auto"/>
          <w:sz w:val="24"/>
          <w:szCs w:val="24"/>
          <w:highlight w:val="none"/>
        </w:rPr>
      </w:pPr>
      <w:r>
        <w:rPr>
          <w:rFonts w:hint="eastAsia" w:ascii="方正仿宋_GBK"/>
          <w:color w:val="auto"/>
          <w:szCs w:val="21"/>
          <w:highlight w:val="none"/>
        </w:rPr>
        <w:t>本表为格式表，不得自行改动，必须提供。</w:t>
      </w:r>
    </w:p>
    <w:p>
      <w:pPr>
        <w:numPr>
          <w:ilvl w:val="0"/>
          <w:numId w:val="3"/>
        </w:numPr>
        <w:kinsoku w:val="0"/>
        <w:topLinePunct/>
        <w:snapToGrid w:val="0"/>
        <w:spacing w:line="420" w:lineRule="exact"/>
        <w:rPr>
          <w:rFonts w:ascii="方正仿宋_GBK"/>
          <w:color w:val="auto"/>
          <w:szCs w:val="21"/>
          <w:highlight w:val="none"/>
        </w:rPr>
      </w:pPr>
      <w:r>
        <w:rPr>
          <w:rFonts w:hint="eastAsia" w:ascii="方正仿宋_GBK"/>
          <w:color w:val="auto"/>
          <w:szCs w:val="21"/>
          <w:highlight w:val="none"/>
        </w:rPr>
        <w:t>投标总报价（以人民币计价）应包含但不限于如下费用：场地设计与布置费用，包括但不限于展台的设计、制作、安装、拆卸、运输费用，以及搭建临时用电费、特装管理费、施工管理费、施工证件费、施工车证费、展台押金、加班费、保险费、卫生保洁费、垃圾处理费、安保等费用；宣传推广费用，包括但不限于各类推广手段的广告投放，宣传物料制作；其他费用，包括但不限于保险（公共责任险及火灾险等各类保险费用）、协调、办理相关手续、各类临时活动的配合措施、安保措施、管理费用、利润、税金等工作所发生的全部费用和政策性文件规定及合同包含的所有风险、责任，即响应项目需求中的全部工作量和服务及完成本项目工作所需的一切费用。</w:t>
      </w:r>
    </w:p>
    <w:p>
      <w:pPr>
        <w:kinsoku w:val="0"/>
        <w:topLinePunct/>
        <w:snapToGrid w:val="0"/>
        <w:spacing w:line="420" w:lineRule="exact"/>
        <w:rPr>
          <w:rFonts w:ascii="方正仿宋_GBK"/>
          <w:b/>
          <w:color w:val="auto"/>
          <w:szCs w:val="21"/>
          <w:highlight w:val="none"/>
        </w:rPr>
      </w:pPr>
    </w:p>
    <w:p>
      <w:pPr>
        <w:kinsoku w:val="0"/>
        <w:topLinePunct/>
        <w:snapToGrid w:val="0"/>
        <w:spacing w:line="420" w:lineRule="exact"/>
        <w:rPr>
          <w:rFonts w:ascii="方正仿宋_GBK"/>
          <w:b/>
          <w:color w:val="auto"/>
          <w:szCs w:val="21"/>
          <w:highlight w:val="none"/>
        </w:rPr>
      </w:pPr>
      <w:r>
        <w:rPr>
          <w:rFonts w:hint="eastAsia" w:ascii="方正仿宋_GBK"/>
          <w:b/>
          <w:color w:val="auto"/>
          <w:szCs w:val="21"/>
          <w:highlight w:val="none"/>
        </w:rPr>
        <w:t>注：最终报价将在开标现场填写，响应文件密封提交时只需填写磋商报价（首次）。</w:t>
      </w:r>
    </w:p>
    <w:p>
      <w:pPr>
        <w:rPr>
          <w:color w:val="auto"/>
          <w:highlight w:val="none"/>
        </w:rPr>
      </w:pPr>
      <w:r>
        <w:rPr>
          <w:color w:val="auto"/>
          <w:highlight w:val="none"/>
        </w:rPr>
        <w:br w:type="page"/>
      </w:r>
    </w:p>
    <w:p>
      <w:pPr>
        <w:kinsoku w:val="0"/>
        <w:topLinePunct/>
        <w:snapToGrid w:val="0"/>
        <w:spacing w:line="420" w:lineRule="exact"/>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7.磋商响应报价明细表（格式自拟）</w:t>
      </w:r>
    </w:p>
    <w:p>
      <w:pPr>
        <w:pStyle w:val="23"/>
        <w:ind w:left="0" w:leftChars="0" w:firstLine="0" w:firstLineChars="0"/>
        <w:rPr>
          <w:rFonts w:hint="eastAsia" w:ascii="宋体" w:hAnsi="宋体" w:cs="宋体"/>
          <w:color w:val="auto"/>
          <w:sz w:val="24"/>
          <w:highlight w:val="none"/>
        </w:rPr>
      </w:pPr>
    </w:p>
    <w:p>
      <w:pPr>
        <w:pStyle w:val="23"/>
        <w:ind w:left="0" w:leftChars="0" w:firstLine="0" w:firstLineChars="0"/>
        <w:rPr>
          <w:rFonts w:hint="eastAsia" w:ascii="宋体" w:hAnsi="宋体" w:cs="宋体"/>
          <w:color w:val="auto"/>
          <w:sz w:val="24"/>
          <w:highlight w:val="none"/>
        </w:rPr>
      </w:pPr>
      <w:r>
        <w:rPr>
          <w:rFonts w:hint="eastAsia" w:ascii="宋体" w:hAnsi="宋体" w:cs="宋体"/>
          <w:color w:val="auto"/>
          <w:sz w:val="24"/>
          <w:highlight w:val="none"/>
        </w:rPr>
        <w:t>项目名称：</w:t>
      </w:r>
    </w:p>
    <w:p>
      <w:pPr>
        <w:rPr>
          <w:rFonts w:hint="eastAsia" w:ascii="宋体" w:hAnsi="宋体" w:cs="宋体"/>
          <w:color w:val="auto"/>
          <w:sz w:val="24"/>
          <w:highlight w:val="none"/>
        </w:rPr>
      </w:pPr>
    </w:p>
    <w:p>
      <w:pPr>
        <w:pStyle w:val="23"/>
        <w:ind w:firstLine="480"/>
        <w:rPr>
          <w:rFonts w:hint="eastAsia" w:ascii="宋体" w:hAnsi="宋体" w:cs="宋体"/>
          <w:color w:val="auto"/>
          <w:sz w:val="24"/>
          <w:highlight w:val="none"/>
        </w:rPr>
      </w:pPr>
    </w:p>
    <w:p>
      <w:pPr>
        <w:pStyle w:val="23"/>
        <w:ind w:firstLine="420"/>
        <w:rPr>
          <w:color w:val="auto"/>
          <w:highlight w:val="none"/>
        </w:rPr>
      </w:pPr>
    </w:p>
    <w:p>
      <w:pPr>
        <w:rPr>
          <w:color w:val="auto"/>
          <w:highlight w:val="none"/>
        </w:rPr>
      </w:pPr>
    </w:p>
    <w:p>
      <w:pPr>
        <w:pStyle w:val="23"/>
        <w:ind w:firstLine="420"/>
        <w:rPr>
          <w:color w:val="auto"/>
          <w:highlight w:val="none"/>
        </w:rPr>
      </w:pPr>
    </w:p>
    <w:p>
      <w:pPr>
        <w:kinsoku w:val="0"/>
        <w:topLinePunct/>
        <w:snapToGrid w:val="0"/>
        <w:spacing w:line="520" w:lineRule="exact"/>
        <w:rPr>
          <w:rFonts w:hint="eastAsia" w:ascii="宋体" w:hAnsi="宋体" w:cs="宋体"/>
          <w:color w:val="auto"/>
          <w:sz w:val="24"/>
          <w:szCs w:val="24"/>
          <w:highlight w:val="none"/>
        </w:rPr>
      </w:pPr>
    </w:p>
    <w:p>
      <w:pPr>
        <w:pStyle w:val="2"/>
        <w:rPr>
          <w:rFonts w:hint="eastAsia" w:ascii="宋体" w:hAnsi="宋体" w:cs="宋体"/>
          <w:color w:val="auto"/>
          <w:sz w:val="24"/>
          <w:szCs w:val="24"/>
          <w:highlight w:val="none"/>
        </w:rPr>
      </w:pPr>
    </w:p>
    <w:p>
      <w:pPr>
        <w:pStyle w:val="2"/>
        <w:rPr>
          <w:rFonts w:hint="eastAsia" w:ascii="宋体" w:hAnsi="宋体" w:cs="宋体"/>
          <w:color w:val="auto"/>
          <w:sz w:val="24"/>
          <w:szCs w:val="24"/>
          <w:highlight w:val="none"/>
        </w:rPr>
      </w:pPr>
    </w:p>
    <w:p>
      <w:pPr>
        <w:kinsoku w:val="0"/>
        <w:topLinePunct/>
        <w:snapToGrid w:val="0"/>
        <w:spacing w:line="52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供应商：（盖章）</w:t>
      </w:r>
    </w:p>
    <w:p>
      <w:pPr>
        <w:kinsoku w:val="0"/>
        <w:topLinePunct/>
        <w:snapToGrid w:val="0"/>
        <w:spacing w:line="520" w:lineRule="exact"/>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法定代表人或被授权人（签字）：</w:t>
      </w:r>
    </w:p>
    <w:p>
      <w:pPr>
        <w:kinsoku w:val="0"/>
        <w:topLinePunct/>
        <w:snapToGrid w:val="0"/>
        <w:spacing w:line="52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日  期：</w:t>
      </w:r>
    </w:p>
    <w:p>
      <w:pPr>
        <w:kinsoku w:val="0"/>
        <w:topLinePunct/>
        <w:snapToGrid w:val="0"/>
        <w:spacing w:line="520" w:lineRule="exact"/>
        <w:rPr>
          <w:rFonts w:hint="eastAsia" w:ascii="宋体" w:hAnsi="宋体" w:cs="宋体"/>
          <w:color w:val="auto"/>
          <w:highlight w:val="none"/>
        </w:rPr>
      </w:pPr>
    </w:p>
    <w:p>
      <w:pPr>
        <w:kinsoku w:val="0"/>
        <w:topLinePunct/>
        <w:snapToGrid w:val="0"/>
        <w:spacing w:line="420" w:lineRule="exact"/>
        <w:rPr>
          <w:rFonts w:ascii="方正仿宋_GBK"/>
          <w:b/>
          <w:color w:val="auto"/>
          <w:szCs w:val="21"/>
          <w:highlight w:val="none"/>
        </w:rPr>
      </w:pPr>
    </w:p>
    <w:p>
      <w:pPr>
        <w:kinsoku w:val="0"/>
        <w:topLinePunct/>
        <w:snapToGrid w:val="0"/>
        <w:spacing w:line="520" w:lineRule="exact"/>
        <w:rPr>
          <w:color w:val="auto"/>
          <w:highlight w:val="none"/>
        </w:rPr>
      </w:pPr>
    </w:p>
    <w:p>
      <w:pPr>
        <w:pStyle w:val="2"/>
        <w:rPr>
          <w:color w:val="auto"/>
          <w:highlight w:val="none"/>
        </w:rPr>
      </w:pPr>
    </w:p>
    <w:sectPr>
      <w:pgSz w:w="11906" w:h="16838"/>
      <w:pgMar w:top="1304" w:right="1304" w:bottom="1304" w:left="1304" w:header="851" w:footer="992" w:gutter="0"/>
      <w:cols w:space="720" w:num="1"/>
      <w:docGrid w:type="lines" w:linePitch="3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Trebuchet MS">
    <w:panose1 w:val="020B0603020202020204"/>
    <w:charset w:val="00"/>
    <w:family w:val="swiss"/>
    <w:pitch w:val="default"/>
    <w:sig w:usb0="00000687" w:usb1="00000000" w:usb2="00000000" w:usb3="00000000" w:csb0="2000009F" w:csb1="00000000"/>
  </w:font>
  <w:font w:name="FuturaA Bk BT">
    <w:altName w:val="Arial"/>
    <w:panose1 w:val="00000000000000000000"/>
    <w:charset w:val="00"/>
    <w:family w:val="auto"/>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path/>
          <v:fill on="f" focussize="0,0"/>
          <v:stroke on="f" joinstyle="miter"/>
          <v:imagedata o:title=""/>
          <o:lock v:ext="edit"/>
          <v:textbox inset="0mm,0mm,0mm,0mm" style="mso-fit-shape-to-text:t;">
            <w:txbxContent>
              <w:p>
                <w:pPr>
                  <w:pStyle w:val="16"/>
                </w:pPr>
                <w:r>
                  <w:fldChar w:fldCharType="begin"/>
                </w:r>
                <w:r>
                  <w:instrText xml:space="preserve"> PAGE  \* MERGEFORMAT </w:instrText>
                </w:r>
                <w:r>
                  <w:fldChar w:fldCharType="separate"/>
                </w:r>
                <w:r>
                  <w:t>18</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9152A"/>
    <w:multiLevelType w:val="singleLevel"/>
    <w:tmpl w:val="C959152A"/>
    <w:lvl w:ilvl="0" w:tentative="0">
      <w:start w:val="1"/>
      <w:numFmt w:val="bullet"/>
      <w:pStyle w:val="34"/>
      <w:lvlText w:val=""/>
      <w:lvlJc w:val="left"/>
      <w:pPr>
        <w:tabs>
          <w:tab w:val="left" w:pos="780"/>
        </w:tabs>
        <w:ind w:left="780" w:hanging="360"/>
      </w:pPr>
      <w:rPr>
        <w:rFonts w:ascii="Wingdings" w:hAnsi="Wingdings"/>
      </w:rPr>
    </w:lvl>
  </w:abstractNum>
  <w:abstractNum w:abstractNumId="1">
    <w:nsid w:val="CB964A26"/>
    <w:multiLevelType w:val="singleLevel"/>
    <w:tmpl w:val="CB964A26"/>
    <w:lvl w:ilvl="0" w:tentative="0">
      <w:start w:val="2"/>
      <w:numFmt w:val="chineseCounting"/>
      <w:suff w:val="nothing"/>
      <w:lvlText w:val="%1、"/>
      <w:lvlJc w:val="left"/>
      <w:rPr>
        <w:rFonts w:hint="eastAsia"/>
      </w:rPr>
    </w:lvl>
  </w:abstractNum>
  <w:abstractNum w:abstractNumId="2">
    <w:nsid w:val="598E6C04"/>
    <w:multiLevelType w:val="singleLevel"/>
    <w:tmpl w:val="598E6C04"/>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zc3NGZiODMwZWIxNGQ1ZGM3NzU3NzM0MzJmZjJlOWYifQ=="/>
  </w:docVars>
  <w:rsids>
    <w:rsidRoot w:val="00AB3F7C"/>
    <w:rsid w:val="00000714"/>
    <w:rsid w:val="0000183A"/>
    <w:rsid w:val="00011BCA"/>
    <w:rsid w:val="00014F36"/>
    <w:rsid w:val="0002129F"/>
    <w:rsid w:val="00024F52"/>
    <w:rsid w:val="00031B40"/>
    <w:rsid w:val="000719FA"/>
    <w:rsid w:val="0007634B"/>
    <w:rsid w:val="0008321B"/>
    <w:rsid w:val="0009435D"/>
    <w:rsid w:val="00094E99"/>
    <w:rsid w:val="00096696"/>
    <w:rsid w:val="00097AC6"/>
    <w:rsid w:val="000A3426"/>
    <w:rsid w:val="000A688C"/>
    <w:rsid w:val="000C0986"/>
    <w:rsid w:val="000C1CC5"/>
    <w:rsid w:val="000C4379"/>
    <w:rsid w:val="000D2137"/>
    <w:rsid w:val="000D3A84"/>
    <w:rsid w:val="000D3D3E"/>
    <w:rsid w:val="000D645D"/>
    <w:rsid w:val="000E03A7"/>
    <w:rsid w:val="000E3104"/>
    <w:rsid w:val="000F17D8"/>
    <w:rsid w:val="0012620F"/>
    <w:rsid w:val="0013194E"/>
    <w:rsid w:val="00136958"/>
    <w:rsid w:val="00142A22"/>
    <w:rsid w:val="0015696E"/>
    <w:rsid w:val="00162DEE"/>
    <w:rsid w:val="00167CB6"/>
    <w:rsid w:val="00173BCA"/>
    <w:rsid w:val="001760F8"/>
    <w:rsid w:val="00182652"/>
    <w:rsid w:val="00183151"/>
    <w:rsid w:val="001833A5"/>
    <w:rsid w:val="00196CB5"/>
    <w:rsid w:val="001976BF"/>
    <w:rsid w:val="001A3F7C"/>
    <w:rsid w:val="001A7439"/>
    <w:rsid w:val="001F073F"/>
    <w:rsid w:val="001F14FE"/>
    <w:rsid w:val="00206A3B"/>
    <w:rsid w:val="00217C10"/>
    <w:rsid w:val="002204FE"/>
    <w:rsid w:val="0022173F"/>
    <w:rsid w:val="00222D14"/>
    <w:rsid w:val="00253B62"/>
    <w:rsid w:val="00254222"/>
    <w:rsid w:val="002568CE"/>
    <w:rsid w:val="00267D43"/>
    <w:rsid w:val="002867E0"/>
    <w:rsid w:val="002A224A"/>
    <w:rsid w:val="002B1715"/>
    <w:rsid w:val="002B4399"/>
    <w:rsid w:val="002C4B57"/>
    <w:rsid w:val="002C522C"/>
    <w:rsid w:val="002C6356"/>
    <w:rsid w:val="002D6A51"/>
    <w:rsid w:val="002E3607"/>
    <w:rsid w:val="002F5435"/>
    <w:rsid w:val="002F7843"/>
    <w:rsid w:val="00313F68"/>
    <w:rsid w:val="00317AF8"/>
    <w:rsid w:val="003266FC"/>
    <w:rsid w:val="00330EE8"/>
    <w:rsid w:val="00331A82"/>
    <w:rsid w:val="00335032"/>
    <w:rsid w:val="00345F0A"/>
    <w:rsid w:val="0035543F"/>
    <w:rsid w:val="00362DEE"/>
    <w:rsid w:val="00373B62"/>
    <w:rsid w:val="00382FBE"/>
    <w:rsid w:val="00385189"/>
    <w:rsid w:val="00390A49"/>
    <w:rsid w:val="003A40E4"/>
    <w:rsid w:val="003B0A39"/>
    <w:rsid w:val="003B2906"/>
    <w:rsid w:val="003B2D5D"/>
    <w:rsid w:val="003B4308"/>
    <w:rsid w:val="003B5E3D"/>
    <w:rsid w:val="003B732E"/>
    <w:rsid w:val="003B73C1"/>
    <w:rsid w:val="003F512E"/>
    <w:rsid w:val="003F5800"/>
    <w:rsid w:val="00400879"/>
    <w:rsid w:val="00404865"/>
    <w:rsid w:val="004303C8"/>
    <w:rsid w:val="00436FDE"/>
    <w:rsid w:val="00443F92"/>
    <w:rsid w:val="004622A1"/>
    <w:rsid w:val="00495FCC"/>
    <w:rsid w:val="004B287D"/>
    <w:rsid w:val="004B4970"/>
    <w:rsid w:val="004D75D2"/>
    <w:rsid w:val="00500417"/>
    <w:rsid w:val="00503114"/>
    <w:rsid w:val="00517FBE"/>
    <w:rsid w:val="00522A5B"/>
    <w:rsid w:val="00544952"/>
    <w:rsid w:val="005705E8"/>
    <w:rsid w:val="005710F9"/>
    <w:rsid w:val="00574A92"/>
    <w:rsid w:val="005920E7"/>
    <w:rsid w:val="00595799"/>
    <w:rsid w:val="005A09B0"/>
    <w:rsid w:val="005A19E7"/>
    <w:rsid w:val="005A3A03"/>
    <w:rsid w:val="005B5925"/>
    <w:rsid w:val="005E01A6"/>
    <w:rsid w:val="0060234A"/>
    <w:rsid w:val="006134B7"/>
    <w:rsid w:val="00631026"/>
    <w:rsid w:val="00641F9D"/>
    <w:rsid w:val="0064696F"/>
    <w:rsid w:val="0065352C"/>
    <w:rsid w:val="00671736"/>
    <w:rsid w:val="006B1CE2"/>
    <w:rsid w:val="006C689C"/>
    <w:rsid w:val="006D229E"/>
    <w:rsid w:val="006D2505"/>
    <w:rsid w:val="006D414A"/>
    <w:rsid w:val="006F616A"/>
    <w:rsid w:val="007123D4"/>
    <w:rsid w:val="00721C10"/>
    <w:rsid w:val="007301D5"/>
    <w:rsid w:val="00735C7C"/>
    <w:rsid w:val="007432EE"/>
    <w:rsid w:val="00743DC5"/>
    <w:rsid w:val="00745641"/>
    <w:rsid w:val="0075362F"/>
    <w:rsid w:val="00765CD3"/>
    <w:rsid w:val="00776B98"/>
    <w:rsid w:val="007850FD"/>
    <w:rsid w:val="0078519D"/>
    <w:rsid w:val="007B4015"/>
    <w:rsid w:val="007C14CE"/>
    <w:rsid w:val="007D310A"/>
    <w:rsid w:val="007D47FC"/>
    <w:rsid w:val="007E162B"/>
    <w:rsid w:val="007F0820"/>
    <w:rsid w:val="007F59D1"/>
    <w:rsid w:val="007F6B64"/>
    <w:rsid w:val="007F7527"/>
    <w:rsid w:val="00801CBD"/>
    <w:rsid w:val="0082746F"/>
    <w:rsid w:val="00846E46"/>
    <w:rsid w:val="008532E6"/>
    <w:rsid w:val="00854840"/>
    <w:rsid w:val="00867233"/>
    <w:rsid w:val="00867B76"/>
    <w:rsid w:val="008754CA"/>
    <w:rsid w:val="00880AA3"/>
    <w:rsid w:val="00880D25"/>
    <w:rsid w:val="008814DD"/>
    <w:rsid w:val="0089161A"/>
    <w:rsid w:val="00897A90"/>
    <w:rsid w:val="008C7369"/>
    <w:rsid w:val="008D0DE4"/>
    <w:rsid w:val="008E2F01"/>
    <w:rsid w:val="008E771F"/>
    <w:rsid w:val="0090185E"/>
    <w:rsid w:val="00915366"/>
    <w:rsid w:val="00917401"/>
    <w:rsid w:val="00933777"/>
    <w:rsid w:val="0094728C"/>
    <w:rsid w:val="00952C8A"/>
    <w:rsid w:val="0096562A"/>
    <w:rsid w:val="0099485B"/>
    <w:rsid w:val="00995691"/>
    <w:rsid w:val="009B0C20"/>
    <w:rsid w:val="009D48F8"/>
    <w:rsid w:val="009D7402"/>
    <w:rsid w:val="009E7171"/>
    <w:rsid w:val="009F714F"/>
    <w:rsid w:val="00A0172B"/>
    <w:rsid w:val="00A03869"/>
    <w:rsid w:val="00A119B3"/>
    <w:rsid w:val="00A35833"/>
    <w:rsid w:val="00A41C57"/>
    <w:rsid w:val="00A55121"/>
    <w:rsid w:val="00A579AC"/>
    <w:rsid w:val="00A640C5"/>
    <w:rsid w:val="00A8796D"/>
    <w:rsid w:val="00AA2FBD"/>
    <w:rsid w:val="00AA59FB"/>
    <w:rsid w:val="00AB3F7C"/>
    <w:rsid w:val="00AC3473"/>
    <w:rsid w:val="00AC5E3E"/>
    <w:rsid w:val="00AD5CB8"/>
    <w:rsid w:val="00AE5121"/>
    <w:rsid w:val="00AE5685"/>
    <w:rsid w:val="00AF2DC6"/>
    <w:rsid w:val="00AF2E21"/>
    <w:rsid w:val="00B0251F"/>
    <w:rsid w:val="00B14473"/>
    <w:rsid w:val="00B259DA"/>
    <w:rsid w:val="00B27CBB"/>
    <w:rsid w:val="00B33190"/>
    <w:rsid w:val="00B3412C"/>
    <w:rsid w:val="00B37185"/>
    <w:rsid w:val="00B40470"/>
    <w:rsid w:val="00B40917"/>
    <w:rsid w:val="00B47D32"/>
    <w:rsid w:val="00B65B3D"/>
    <w:rsid w:val="00B7343D"/>
    <w:rsid w:val="00B92654"/>
    <w:rsid w:val="00BA550F"/>
    <w:rsid w:val="00BA6C0B"/>
    <w:rsid w:val="00BB17DE"/>
    <w:rsid w:val="00BD0392"/>
    <w:rsid w:val="00BE0320"/>
    <w:rsid w:val="00BE4A26"/>
    <w:rsid w:val="00BE4C55"/>
    <w:rsid w:val="00C15BDC"/>
    <w:rsid w:val="00C171E9"/>
    <w:rsid w:val="00C24708"/>
    <w:rsid w:val="00C27FFC"/>
    <w:rsid w:val="00C378DA"/>
    <w:rsid w:val="00C43CC7"/>
    <w:rsid w:val="00C4460F"/>
    <w:rsid w:val="00C45575"/>
    <w:rsid w:val="00C624E1"/>
    <w:rsid w:val="00C64DE6"/>
    <w:rsid w:val="00C74BCD"/>
    <w:rsid w:val="00C90C41"/>
    <w:rsid w:val="00C952C6"/>
    <w:rsid w:val="00CA3D98"/>
    <w:rsid w:val="00CA41C2"/>
    <w:rsid w:val="00CB1259"/>
    <w:rsid w:val="00CB264F"/>
    <w:rsid w:val="00CB4BB4"/>
    <w:rsid w:val="00CC66D6"/>
    <w:rsid w:val="00CC6F21"/>
    <w:rsid w:val="00CD130D"/>
    <w:rsid w:val="00CE7A17"/>
    <w:rsid w:val="00CF7BF5"/>
    <w:rsid w:val="00D01D90"/>
    <w:rsid w:val="00D03198"/>
    <w:rsid w:val="00D10064"/>
    <w:rsid w:val="00D202C1"/>
    <w:rsid w:val="00D20484"/>
    <w:rsid w:val="00D23C28"/>
    <w:rsid w:val="00D314B0"/>
    <w:rsid w:val="00D32B36"/>
    <w:rsid w:val="00D4572D"/>
    <w:rsid w:val="00D45936"/>
    <w:rsid w:val="00D52926"/>
    <w:rsid w:val="00D529EE"/>
    <w:rsid w:val="00D75772"/>
    <w:rsid w:val="00D75CAB"/>
    <w:rsid w:val="00D85E64"/>
    <w:rsid w:val="00D94300"/>
    <w:rsid w:val="00D947C7"/>
    <w:rsid w:val="00DB2012"/>
    <w:rsid w:val="00DB30BA"/>
    <w:rsid w:val="00DC3FEA"/>
    <w:rsid w:val="00DC7B05"/>
    <w:rsid w:val="00E01284"/>
    <w:rsid w:val="00E12D8D"/>
    <w:rsid w:val="00E141A3"/>
    <w:rsid w:val="00E20F8C"/>
    <w:rsid w:val="00E238A2"/>
    <w:rsid w:val="00E360F4"/>
    <w:rsid w:val="00E4142A"/>
    <w:rsid w:val="00E4326A"/>
    <w:rsid w:val="00E54CAC"/>
    <w:rsid w:val="00E559CB"/>
    <w:rsid w:val="00E57BCF"/>
    <w:rsid w:val="00E64F22"/>
    <w:rsid w:val="00E81303"/>
    <w:rsid w:val="00E85D59"/>
    <w:rsid w:val="00E953BB"/>
    <w:rsid w:val="00EA6D51"/>
    <w:rsid w:val="00EB2847"/>
    <w:rsid w:val="00EC2AC9"/>
    <w:rsid w:val="00EC7004"/>
    <w:rsid w:val="00ED0BFF"/>
    <w:rsid w:val="00EF0C93"/>
    <w:rsid w:val="00EF5AEE"/>
    <w:rsid w:val="00EF70FF"/>
    <w:rsid w:val="00EF74FB"/>
    <w:rsid w:val="00F10258"/>
    <w:rsid w:val="00F11D1B"/>
    <w:rsid w:val="00F20B4B"/>
    <w:rsid w:val="00F22F1A"/>
    <w:rsid w:val="00F409A4"/>
    <w:rsid w:val="00F47A99"/>
    <w:rsid w:val="00F6049A"/>
    <w:rsid w:val="00F74BAC"/>
    <w:rsid w:val="00F76301"/>
    <w:rsid w:val="00F8627F"/>
    <w:rsid w:val="00F91C0C"/>
    <w:rsid w:val="00F97F03"/>
    <w:rsid w:val="00FA4265"/>
    <w:rsid w:val="00FB0D20"/>
    <w:rsid w:val="00FB4B3C"/>
    <w:rsid w:val="00FB7A22"/>
    <w:rsid w:val="00FC2E58"/>
    <w:rsid w:val="00FC36C3"/>
    <w:rsid w:val="00FC3E24"/>
    <w:rsid w:val="00FE5D0D"/>
    <w:rsid w:val="00FE6D40"/>
    <w:rsid w:val="010312EC"/>
    <w:rsid w:val="011941B1"/>
    <w:rsid w:val="01723A2E"/>
    <w:rsid w:val="018A7679"/>
    <w:rsid w:val="020715D9"/>
    <w:rsid w:val="02397D48"/>
    <w:rsid w:val="03347A35"/>
    <w:rsid w:val="038859C8"/>
    <w:rsid w:val="03B55D6F"/>
    <w:rsid w:val="041C3EEA"/>
    <w:rsid w:val="046353B0"/>
    <w:rsid w:val="04881CE9"/>
    <w:rsid w:val="04984897"/>
    <w:rsid w:val="04D77310"/>
    <w:rsid w:val="052A15B3"/>
    <w:rsid w:val="054D7A1C"/>
    <w:rsid w:val="056B7F5B"/>
    <w:rsid w:val="056D4738"/>
    <w:rsid w:val="05761856"/>
    <w:rsid w:val="05E6209F"/>
    <w:rsid w:val="06DB2B0A"/>
    <w:rsid w:val="07174993"/>
    <w:rsid w:val="0738545D"/>
    <w:rsid w:val="079477F2"/>
    <w:rsid w:val="07C13322"/>
    <w:rsid w:val="07D81106"/>
    <w:rsid w:val="07EA2C20"/>
    <w:rsid w:val="08687D39"/>
    <w:rsid w:val="088B352F"/>
    <w:rsid w:val="08AA7FC6"/>
    <w:rsid w:val="09166BC6"/>
    <w:rsid w:val="093263D5"/>
    <w:rsid w:val="09385CEE"/>
    <w:rsid w:val="094E4847"/>
    <w:rsid w:val="09866501"/>
    <w:rsid w:val="09A36976"/>
    <w:rsid w:val="09A45050"/>
    <w:rsid w:val="09AC10C0"/>
    <w:rsid w:val="0A2C751F"/>
    <w:rsid w:val="0C350433"/>
    <w:rsid w:val="0C45423C"/>
    <w:rsid w:val="0C6351ED"/>
    <w:rsid w:val="0C670809"/>
    <w:rsid w:val="0C8310F1"/>
    <w:rsid w:val="0CC443C6"/>
    <w:rsid w:val="0CD520F0"/>
    <w:rsid w:val="0CEF6EA8"/>
    <w:rsid w:val="0D164155"/>
    <w:rsid w:val="0D2070E4"/>
    <w:rsid w:val="0D482CC3"/>
    <w:rsid w:val="0D605732"/>
    <w:rsid w:val="0E172254"/>
    <w:rsid w:val="0E6D5B5A"/>
    <w:rsid w:val="0E7737B3"/>
    <w:rsid w:val="0E797B12"/>
    <w:rsid w:val="0E8004E8"/>
    <w:rsid w:val="0EB70D49"/>
    <w:rsid w:val="0F753717"/>
    <w:rsid w:val="0FA87A47"/>
    <w:rsid w:val="0FAC2EB1"/>
    <w:rsid w:val="0FCD318D"/>
    <w:rsid w:val="10001C1C"/>
    <w:rsid w:val="101A6B79"/>
    <w:rsid w:val="102E4A79"/>
    <w:rsid w:val="10684CE2"/>
    <w:rsid w:val="108E1F08"/>
    <w:rsid w:val="10A45ACB"/>
    <w:rsid w:val="10C3255D"/>
    <w:rsid w:val="11BC5277"/>
    <w:rsid w:val="11CC3396"/>
    <w:rsid w:val="120D3FC5"/>
    <w:rsid w:val="122F4E74"/>
    <w:rsid w:val="12C81DAF"/>
    <w:rsid w:val="12DC3AAD"/>
    <w:rsid w:val="12F038D9"/>
    <w:rsid w:val="130C2A0B"/>
    <w:rsid w:val="131C0E17"/>
    <w:rsid w:val="13823708"/>
    <w:rsid w:val="13A00AD4"/>
    <w:rsid w:val="13AA1EF9"/>
    <w:rsid w:val="13DA7FEC"/>
    <w:rsid w:val="13F271A0"/>
    <w:rsid w:val="14114395"/>
    <w:rsid w:val="142259AD"/>
    <w:rsid w:val="14227173"/>
    <w:rsid w:val="1432003C"/>
    <w:rsid w:val="149D04E2"/>
    <w:rsid w:val="14AF1479"/>
    <w:rsid w:val="14C927DB"/>
    <w:rsid w:val="14C95F28"/>
    <w:rsid w:val="15091A66"/>
    <w:rsid w:val="150A1725"/>
    <w:rsid w:val="15147EEB"/>
    <w:rsid w:val="15537A4D"/>
    <w:rsid w:val="15632263"/>
    <w:rsid w:val="15AF6136"/>
    <w:rsid w:val="15C6265A"/>
    <w:rsid w:val="15ED4BEA"/>
    <w:rsid w:val="15F0441A"/>
    <w:rsid w:val="16505471"/>
    <w:rsid w:val="166718DF"/>
    <w:rsid w:val="16A33AAC"/>
    <w:rsid w:val="16AB685A"/>
    <w:rsid w:val="1740285C"/>
    <w:rsid w:val="174E61CD"/>
    <w:rsid w:val="177421B4"/>
    <w:rsid w:val="17CE56F4"/>
    <w:rsid w:val="1811632A"/>
    <w:rsid w:val="18384F04"/>
    <w:rsid w:val="184612A5"/>
    <w:rsid w:val="185A32DE"/>
    <w:rsid w:val="18E843D6"/>
    <w:rsid w:val="19046421"/>
    <w:rsid w:val="191B50C7"/>
    <w:rsid w:val="19731DB3"/>
    <w:rsid w:val="197F0686"/>
    <w:rsid w:val="199973C1"/>
    <w:rsid w:val="19D65864"/>
    <w:rsid w:val="19EF4889"/>
    <w:rsid w:val="1A352420"/>
    <w:rsid w:val="1A7948E7"/>
    <w:rsid w:val="1A997F2F"/>
    <w:rsid w:val="1AC76DF0"/>
    <w:rsid w:val="1B154000"/>
    <w:rsid w:val="1B311A34"/>
    <w:rsid w:val="1B3A3D59"/>
    <w:rsid w:val="1B7A59A1"/>
    <w:rsid w:val="1B9E5DA3"/>
    <w:rsid w:val="1BC149C2"/>
    <w:rsid w:val="1BCC0B62"/>
    <w:rsid w:val="1BD67288"/>
    <w:rsid w:val="1BE02053"/>
    <w:rsid w:val="1BFC08A8"/>
    <w:rsid w:val="1BFD1E54"/>
    <w:rsid w:val="1C0C771B"/>
    <w:rsid w:val="1C0E207A"/>
    <w:rsid w:val="1C220CF4"/>
    <w:rsid w:val="1C6F5FF8"/>
    <w:rsid w:val="1CA072D0"/>
    <w:rsid w:val="1CCC21E1"/>
    <w:rsid w:val="1CFF5EFE"/>
    <w:rsid w:val="1D4D7A72"/>
    <w:rsid w:val="1D516D58"/>
    <w:rsid w:val="1D79056D"/>
    <w:rsid w:val="1DCD2970"/>
    <w:rsid w:val="1DD54AB2"/>
    <w:rsid w:val="1E0A7720"/>
    <w:rsid w:val="1E0B4A9B"/>
    <w:rsid w:val="1E312B23"/>
    <w:rsid w:val="1E404371"/>
    <w:rsid w:val="1E6432D4"/>
    <w:rsid w:val="1E894AFB"/>
    <w:rsid w:val="1E97435D"/>
    <w:rsid w:val="1E982F7E"/>
    <w:rsid w:val="1EB002BD"/>
    <w:rsid w:val="1EC0236C"/>
    <w:rsid w:val="1EF76329"/>
    <w:rsid w:val="1F2B70DF"/>
    <w:rsid w:val="1F3548F1"/>
    <w:rsid w:val="1F417171"/>
    <w:rsid w:val="1F517F08"/>
    <w:rsid w:val="1F75506D"/>
    <w:rsid w:val="1F976C02"/>
    <w:rsid w:val="1FBC6ED8"/>
    <w:rsid w:val="1FD44489"/>
    <w:rsid w:val="1FE53D46"/>
    <w:rsid w:val="1FFB53BA"/>
    <w:rsid w:val="206425C2"/>
    <w:rsid w:val="20D16979"/>
    <w:rsid w:val="21156E88"/>
    <w:rsid w:val="215411CA"/>
    <w:rsid w:val="215D7F55"/>
    <w:rsid w:val="21660C7C"/>
    <w:rsid w:val="21701A33"/>
    <w:rsid w:val="21AC4ECC"/>
    <w:rsid w:val="21AD074F"/>
    <w:rsid w:val="226136F6"/>
    <w:rsid w:val="228269F2"/>
    <w:rsid w:val="22893EED"/>
    <w:rsid w:val="22AC4A6F"/>
    <w:rsid w:val="22B440FE"/>
    <w:rsid w:val="22D07D33"/>
    <w:rsid w:val="22E42C35"/>
    <w:rsid w:val="23017509"/>
    <w:rsid w:val="23123443"/>
    <w:rsid w:val="2343093D"/>
    <w:rsid w:val="2345736D"/>
    <w:rsid w:val="239A7ACA"/>
    <w:rsid w:val="247343DA"/>
    <w:rsid w:val="24885A80"/>
    <w:rsid w:val="249736EF"/>
    <w:rsid w:val="24AC1531"/>
    <w:rsid w:val="253C3683"/>
    <w:rsid w:val="25524C62"/>
    <w:rsid w:val="2554432C"/>
    <w:rsid w:val="25664C67"/>
    <w:rsid w:val="25881D85"/>
    <w:rsid w:val="25FD6AB1"/>
    <w:rsid w:val="26083FB3"/>
    <w:rsid w:val="261E020C"/>
    <w:rsid w:val="264C319C"/>
    <w:rsid w:val="26B45B5F"/>
    <w:rsid w:val="26B57A9E"/>
    <w:rsid w:val="26B65FA1"/>
    <w:rsid w:val="26DD5434"/>
    <w:rsid w:val="27064377"/>
    <w:rsid w:val="273B094A"/>
    <w:rsid w:val="27987506"/>
    <w:rsid w:val="27DD6BDF"/>
    <w:rsid w:val="28002E2C"/>
    <w:rsid w:val="281B5C3A"/>
    <w:rsid w:val="2820204B"/>
    <w:rsid w:val="28806EE8"/>
    <w:rsid w:val="28AF08E1"/>
    <w:rsid w:val="29257855"/>
    <w:rsid w:val="294B0130"/>
    <w:rsid w:val="296A1958"/>
    <w:rsid w:val="296F0F22"/>
    <w:rsid w:val="29830BB3"/>
    <w:rsid w:val="29B26A9F"/>
    <w:rsid w:val="29C664D0"/>
    <w:rsid w:val="29F9075D"/>
    <w:rsid w:val="2A627BB6"/>
    <w:rsid w:val="2AA215B1"/>
    <w:rsid w:val="2B165643"/>
    <w:rsid w:val="2B8F74B6"/>
    <w:rsid w:val="2B91322F"/>
    <w:rsid w:val="2BE414A3"/>
    <w:rsid w:val="2D157E8F"/>
    <w:rsid w:val="2D232BBE"/>
    <w:rsid w:val="2D4B5297"/>
    <w:rsid w:val="2E0C408C"/>
    <w:rsid w:val="2E4B2366"/>
    <w:rsid w:val="2E6C6820"/>
    <w:rsid w:val="2E822D5C"/>
    <w:rsid w:val="2EA47017"/>
    <w:rsid w:val="2EA66FF1"/>
    <w:rsid w:val="2EED2E72"/>
    <w:rsid w:val="2EF43E97"/>
    <w:rsid w:val="2F1D0AC1"/>
    <w:rsid w:val="2F571707"/>
    <w:rsid w:val="2F69380D"/>
    <w:rsid w:val="2F7C5862"/>
    <w:rsid w:val="2F7E615E"/>
    <w:rsid w:val="2F8416AB"/>
    <w:rsid w:val="2F971030"/>
    <w:rsid w:val="2FE522D8"/>
    <w:rsid w:val="2FE80A81"/>
    <w:rsid w:val="3014293B"/>
    <w:rsid w:val="304C544B"/>
    <w:rsid w:val="307304C8"/>
    <w:rsid w:val="30920526"/>
    <w:rsid w:val="30B31E99"/>
    <w:rsid w:val="30C344EA"/>
    <w:rsid w:val="30DA1A43"/>
    <w:rsid w:val="312947C1"/>
    <w:rsid w:val="315C6D68"/>
    <w:rsid w:val="31711B1B"/>
    <w:rsid w:val="31794FE3"/>
    <w:rsid w:val="32001B4B"/>
    <w:rsid w:val="32496611"/>
    <w:rsid w:val="32F36623"/>
    <w:rsid w:val="34EC0CCB"/>
    <w:rsid w:val="34FF0F1D"/>
    <w:rsid w:val="352567D5"/>
    <w:rsid w:val="35831E3A"/>
    <w:rsid w:val="358B5193"/>
    <w:rsid w:val="359100A1"/>
    <w:rsid w:val="35AE40E5"/>
    <w:rsid w:val="35BF4AAE"/>
    <w:rsid w:val="35E27865"/>
    <w:rsid w:val="363E3FB3"/>
    <w:rsid w:val="36AA3339"/>
    <w:rsid w:val="37472BFE"/>
    <w:rsid w:val="375A6729"/>
    <w:rsid w:val="37A05395"/>
    <w:rsid w:val="37B564F7"/>
    <w:rsid w:val="38173A32"/>
    <w:rsid w:val="385D71CE"/>
    <w:rsid w:val="38D4638D"/>
    <w:rsid w:val="38E33F90"/>
    <w:rsid w:val="38E54BBA"/>
    <w:rsid w:val="38FD1F03"/>
    <w:rsid w:val="394A20DC"/>
    <w:rsid w:val="39754676"/>
    <w:rsid w:val="39861BF9"/>
    <w:rsid w:val="39BC3B6C"/>
    <w:rsid w:val="39CB28BC"/>
    <w:rsid w:val="39E61839"/>
    <w:rsid w:val="3A0E176D"/>
    <w:rsid w:val="3A1C0EF9"/>
    <w:rsid w:val="3A667F7C"/>
    <w:rsid w:val="3A6701BF"/>
    <w:rsid w:val="3A771354"/>
    <w:rsid w:val="3AE55ABC"/>
    <w:rsid w:val="3B381D36"/>
    <w:rsid w:val="3B60677A"/>
    <w:rsid w:val="3BCF4482"/>
    <w:rsid w:val="3BF57460"/>
    <w:rsid w:val="3C180904"/>
    <w:rsid w:val="3CB46B63"/>
    <w:rsid w:val="3CFC6834"/>
    <w:rsid w:val="3D9A0DD8"/>
    <w:rsid w:val="3D9B25C9"/>
    <w:rsid w:val="3EB6681C"/>
    <w:rsid w:val="3ECF0E18"/>
    <w:rsid w:val="3ED479A3"/>
    <w:rsid w:val="3EF75F59"/>
    <w:rsid w:val="3F110BCB"/>
    <w:rsid w:val="3F1955BD"/>
    <w:rsid w:val="3F624392"/>
    <w:rsid w:val="3F6D5E71"/>
    <w:rsid w:val="3F9777DD"/>
    <w:rsid w:val="405A2B76"/>
    <w:rsid w:val="408615A7"/>
    <w:rsid w:val="408F19E6"/>
    <w:rsid w:val="40E46B86"/>
    <w:rsid w:val="40EE09C1"/>
    <w:rsid w:val="413D6C54"/>
    <w:rsid w:val="41F83873"/>
    <w:rsid w:val="42784CF1"/>
    <w:rsid w:val="42896024"/>
    <w:rsid w:val="42B50743"/>
    <w:rsid w:val="42B8554C"/>
    <w:rsid w:val="42C83582"/>
    <w:rsid w:val="42E85A69"/>
    <w:rsid w:val="432543D8"/>
    <w:rsid w:val="435766B4"/>
    <w:rsid w:val="43AD2674"/>
    <w:rsid w:val="43F84F82"/>
    <w:rsid w:val="440822AC"/>
    <w:rsid w:val="44413346"/>
    <w:rsid w:val="44E92525"/>
    <w:rsid w:val="44FC3C13"/>
    <w:rsid w:val="45614FDD"/>
    <w:rsid w:val="456A5678"/>
    <w:rsid w:val="45767AC3"/>
    <w:rsid w:val="458E16D4"/>
    <w:rsid w:val="459A5C96"/>
    <w:rsid w:val="45E306D3"/>
    <w:rsid w:val="460348D1"/>
    <w:rsid w:val="461F0488"/>
    <w:rsid w:val="467258B4"/>
    <w:rsid w:val="46795049"/>
    <w:rsid w:val="468123C6"/>
    <w:rsid w:val="46847CBF"/>
    <w:rsid w:val="47342616"/>
    <w:rsid w:val="47824C89"/>
    <w:rsid w:val="47853671"/>
    <w:rsid w:val="479D72E9"/>
    <w:rsid w:val="47BA4AB8"/>
    <w:rsid w:val="482A7828"/>
    <w:rsid w:val="48485EF0"/>
    <w:rsid w:val="48581F00"/>
    <w:rsid w:val="49494CF1"/>
    <w:rsid w:val="49564BE1"/>
    <w:rsid w:val="49D62A28"/>
    <w:rsid w:val="4A2254D3"/>
    <w:rsid w:val="4A520C8D"/>
    <w:rsid w:val="4A8C5AF9"/>
    <w:rsid w:val="4B06733D"/>
    <w:rsid w:val="4B154331"/>
    <w:rsid w:val="4B2257F9"/>
    <w:rsid w:val="4B320132"/>
    <w:rsid w:val="4B35377F"/>
    <w:rsid w:val="4B513C7C"/>
    <w:rsid w:val="4B5F781B"/>
    <w:rsid w:val="4B647BC0"/>
    <w:rsid w:val="4C107D48"/>
    <w:rsid w:val="4C723C26"/>
    <w:rsid w:val="4CC97E9D"/>
    <w:rsid w:val="4CD3159D"/>
    <w:rsid w:val="4D137AF0"/>
    <w:rsid w:val="4D203FBB"/>
    <w:rsid w:val="4DB20D0D"/>
    <w:rsid w:val="4DC8296F"/>
    <w:rsid w:val="4E5E1C70"/>
    <w:rsid w:val="4E832A53"/>
    <w:rsid w:val="4E920EE8"/>
    <w:rsid w:val="4EB368C3"/>
    <w:rsid w:val="4F053468"/>
    <w:rsid w:val="4F120732"/>
    <w:rsid w:val="4F4C72E9"/>
    <w:rsid w:val="4F734876"/>
    <w:rsid w:val="4FC86871"/>
    <w:rsid w:val="4FE20C61"/>
    <w:rsid w:val="4FFB4E59"/>
    <w:rsid w:val="504B528B"/>
    <w:rsid w:val="5054524C"/>
    <w:rsid w:val="50B530C1"/>
    <w:rsid w:val="51BF4B3D"/>
    <w:rsid w:val="51DD6B93"/>
    <w:rsid w:val="521640C9"/>
    <w:rsid w:val="52756B57"/>
    <w:rsid w:val="527F7DB2"/>
    <w:rsid w:val="52A02559"/>
    <w:rsid w:val="52B23907"/>
    <w:rsid w:val="53080114"/>
    <w:rsid w:val="53112B15"/>
    <w:rsid w:val="533C1C56"/>
    <w:rsid w:val="53750BCC"/>
    <w:rsid w:val="538D23F9"/>
    <w:rsid w:val="53A26D93"/>
    <w:rsid w:val="53AA19D4"/>
    <w:rsid w:val="53AF5095"/>
    <w:rsid w:val="53F4561A"/>
    <w:rsid w:val="54492049"/>
    <w:rsid w:val="547F3B26"/>
    <w:rsid w:val="54BA366F"/>
    <w:rsid w:val="54CE266B"/>
    <w:rsid w:val="54D71FBA"/>
    <w:rsid w:val="55257EBD"/>
    <w:rsid w:val="55875082"/>
    <w:rsid w:val="559F33DB"/>
    <w:rsid w:val="55CF657E"/>
    <w:rsid w:val="560E4817"/>
    <w:rsid w:val="56784335"/>
    <w:rsid w:val="56815ACA"/>
    <w:rsid w:val="56B11194"/>
    <w:rsid w:val="56C61E97"/>
    <w:rsid w:val="56CC0D73"/>
    <w:rsid w:val="57054D95"/>
    <w:rsid w:val="5707629C"/>
    <w:rsid w:val="57346FE0"/>
    <w:rsid w:val="576E3115"/>
    <w:rsid w:val="5777520F"/>
    <w:rsid w:val="577B076B"/>
    <w:rsid w:val="57A20B0E"/>
    <w:rsid w:val="57C079C9"/>
    <w:rsid w:val="57C32112"/>
    <w:rsid w:val="5886465D"/>
    <w:rsid w:val="58A318AE"/>
    <w:rsid w:val="58BC0970"/>
    <w:rsid w:val="58BF7AD3"/>
    <w:rsid w:val="592129AE"/>
    <w:rsid w:val="5955323E"/>
    <w:rsid w:val="59BF1E9E"/>
    <w:rsid w:val="5A040293"/>
    <w:rsid w:val="5A5A6D5E"/>
    <w:rsid w:val="5A5D47AD"/>
    <w:rsid w:val="5A5D621A"/>
    <w:rsid w:val="5A840C5B"/>
    <w:rsid w:val="5AB0697E"/>
    <w:rsid w:val="5AB2017C"/>
    <w:rsid w:val="5AD21D23"/>
    <w:rsid w:val="5B444C21"/>
    <w:rsid w:val="5B457372"/>
    <w:rsid w:val="5B525C87"/>
    <w:rsid w:val="5B5475E4"/>
    <w:rsid w:val="5BF140D4"/>
    <w:rsid w:val="5C1A7D4C"/>
    <w:rsid w:val="5C367644"/>
    <w:rsid w:val="5C3F48A5"/>
    <w:rsid w:val="5C425CFC"/>
    <w:rsid w:val="5C794C59"/>
    <w:rsid w:val="5C9127DF"/>
    <w:rsid w:val="5CAB7CD3"/>
    <w:rsid w:val="5D0711EF"/>
    <w:rsid w:val="5DB360AD"/>
    <w:rsid w:val="5DBA077C"/>
    <w:rsid w:val="5DBD566D"/>
    <w:rsid w:val="5DC63E4D"/>
    <w:rsid w:val="5DD76917"/>
    <w:rsid w:val="5E1D6403"/>
    <w:rsid w:val="5E7874CD"/>
    <w:rsid w:val="5E8A781F"/>
    <w:rsid w:val="5ED00919"/>
    <w:rsid w:val="5FA171DD"/>
    <w:rsid w:val="5FAE581A"/>
    <w:rsid w:val="5FB928D8"/>
    <w:rsid w:val="60234A74"/>
    <w:rsid w:val="604E4032"/>
    <w:rsid w:val="605F4F3F"/>
    <w:rsid w:val="6082031C"/>
    <w:rsid w:val="609A010D"/>
    <w:rsid w:val="60B7641A"/>
    <w:rsid w:val="60CB6D08"/>
    <w:rsid w:val="60EF3330"/>
    <w:rsid w:val="60F8107F"/>
    <w:rsid w:val="612127B3"/>
    <w:rsid w:val="616A31C3"/>
    <w:rsid w:val="616D622E"/>
    <w:rsid w:val="6196332D"/>
    <w:rsid w:val="620316C6"/>
    <w:rsid w:val="624B3430"/>
    <w:rsid w:val="62731D94"/>
    <w:rsid w:val="62951A54"/>
    <w:rsid w:val="629D48E3"/>
    <w:rsid w:val="63646D18"/>
    <w:rsid w:val="63826B99"/>
    <w:rsid w:val="63AF5E11"/>
    <w:rsid w:val="63E4198F"/>
    <w:rsid w:val="63F162D6"/>
    <w:rsid w:val="63FB3B1D"/>
    <w:rsid w:val="6453115A"/>
    <w:rsid w:val="64602371"/>
    <w:rsid w:val="646A2293"/>
    <w:rsid w:val="647A7108"/>
    <w:rsid w:val="64A50E62"/>
    <w:rsid w:val="64AD03D2"/>
    <w:rsid w:val="65000E8C"/>
    <w:rsid w:val="650F4093"/>
    <w:rsid w:val="651741AC"/>
    <w:rsid w:val="6554267B"/>
    <w:rsid w:val="65615B4A"/>
    <w:rsid w:val="657B70FE"/>
    <w:rsid w:val="65C41412"/>
    <w:rsid w:val="65C707E6"/>
    <w:rsid w:val="65C82528"/>
    <w:rsid w:val="65F2681F"/>
    <w:rsid w:val="660035A4"/>
    <w:rsid w:val="66052A76"/>
    <w:rsid w:val="663C3C92"/>
    <w:rsid w:val="6642493F"/>
    <w:rsid w:val="66451116"/>
    <w:rsid w:val="664F1741"/>
    <w:rsid w:val="664F1810"/>
    <w:rsid w:val="670F75E6"/>
    <w:rsid w:val="672101E2"/>
    <w:rsid w:val="673501F2"/>
    <w:rsid w:val="678A6545"/>
    <w:rsid w:val="67CA7801"/>
    <w:rsid w:val="67D8123C"/>
    <w:rsid w:val="67DF6F78"/>
    <w:rsid w:val="681C75A1"/>
    <w:rsid w:val="686D7280"/>
    <w:rsid w:val="687F6330"/>
    <w:rsid w:val="6897782A"/>
    <w:rsid w:val="68AF5A59"/>
    <w:rsid w:val="68C44309"/>
    <w:rsid w:val="69007DCD"/>
    <w:rsid w:val="692545C6"/>
    <w:rsid w:val="692C5576"/>
    <w:rsid w:val="699C36C7"/>
    <w:rsid w:val="69BF757E"/>
    <w:rsid w:val="6A005991"/>
    <w:rsid w:val="6A1F142A"/>
    <w:rsid w:val="6A274783"/>
    <w:rsid w:val="6A491349"/>
    <w:rsid w:val="6A8D0A8A"/>
    <w:rsid w:val="6AC14A7E"/>
    <w:rsid w:val="6AC932A2"/>
    <w:rsid w:val="6B232928"/>
    <w:rsid w:val="6B33023B"/>
    <w:rsid w:val="6B611FD7"/>
    <w:rsid w:val="6BB96FD4"/>
    <w:rsid w:val="6C4E33F1"/>
    <w:rsid w:val="6CB24ED0"/>
    <w:rsid w:val="6CD607B4"/>
    <w:rsid w:val="6CE42A73"/>
    <w:rsid w:val="6CF8796A"/>
    <w:rsid w:val="6DE63BF3"/>
    <w:rsid w:val="6E211F7D"/>
    <w:rsid w:val="6E295FFB"/>
    <w:rsid w:val="6E45030F"/>
    <w:rsid w:val="6E49116B"/>
    <w:rsid w:val="6EBC0947"/>
    <w:rsid w:val="6EED31AC"/>
    <w:rsid w:val="6F0F39C4"/>
    <w:rsid w:val="6F327E52"/>
    <w:rsid w:val="6FB8233D"/>
    <w:rsid w:val="6FE567A7"/>
    <w:rsid w:val="70465A19"/>
    <w:rsid w:val="70626FA0"/>
    <w:rsid w:val="70AC2BC9"/>
    <w:rsid w:val="70B002B9"/>
    <w:rsid w:val="70B66B83"/>
    <w:rsid w:val="70B861CC"/>
    <w:rsid w:val="711209D1"/>
    <w:rsid w:val="71306040"/>
    <w:rsid w:val="714741D9"/>
    <w:rsid w:val="71D15700"/>
    <w:rsid w:val="72390278"/>
    <w:rsid w:val="72727E1B"/>
    <w:rsid w:val="7297368C"/>
    <w:rsid w:val="732452B0"/>
    <w:rsid w:val="735A660E"/>
    <w:rsid w:val="73623F5B"/>
    <w:rsid w:val="73F37692"/>
    <w:rsid w:val="74154C97"/>
    <w:rsid w:val="743826DC"/>
    <w:rsid w:val="74443E69"/>
    <w:rsid w:val="74527C2C"/>
    <w:rsid w:val="749C18DF"/>
    <w:rsid w:val="74CF5F3E"/>
    <w:rsid w:val="74F02632"/>
    <w:rsid w:val="75071439"/>
    <w:rsid w:val="7520504A"/>
    <w:rsid w:val="753366D1"/>
    <w:rsid w:val="75660855"/>
    <w:rsid w:val="7594320E"/>
    <w:rsid w:val="75BC180C"/>
    <w:rsid w:val="761876D3"/>
    <w:rsid w:val="76BE1FCB"/>
    <w:rsid w:val="77314D9C"/>
    <w:rsid w:val="778F6A10"/>
    <w:rsid w:val="78395CB9"/>
    <w:rsid w:val="78571E88"/>
    <w:rsid w:val="78D157CF"/>
    <w:rsid w:val="78F3055F"/>
    <w:rsid w:val="796450AB"/>
    <w:rsid w:val="79A72DAB"/>
    <w:rsid w:val="79DF0BD6"/>
    <w:rsid w:val="7A8102AF"/>
    <w:rsid w:val="7A9209C5"/>
    <w:rsid w:val="7A9905B0"/>
    <w:rsid w:val="7AA10994"/>
    <w:rsid w:val="7AAB0E6A"/>
    <w:rsid w:val="7AE71284"/>
    <w:rsid w:val="7B107DB1"/>
    <w:rsid w:val="7B14665D"/>
    <w:rsid w:val="7B927F91"/>
    <w:rsid w:val="7BE30A84"/>
    <w:rsid w:val="7C3D5053"/>
    <w:rsid w:val="7C9C6C82"/>
    <w:rsid w:val="7D157953"/>
    <w:rsid w:val="7E186CB2"/>
    <w:rsid w:val="7E30316C"/>
    <w:rsid w:val="7E5A1636"/>
    <w:rsid w:val="7E5C45A3"/>
    <w:rsid w:val="7E8F4979"/>
    <w:rsid w:val="7E991353"/>
    <w:rsid w:val="7EA97F5B"/>
    <w:rsid w:val="7EF57EC1"/>
    <w:rsid w:val="7F40264D"/>
    <w:rsid w:val="7F83010E"/>
    <w:rsid w:val="7FA2248A"/>
    <w:rsid w:val="7FBC2E67"/>
    <w:rsid w:val="7FF3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340" w:after="330" w:line="578" w:lineRule="auto"/>
      <w:outlineLvl w:val="0"/>
    </w:pPr>
    <w:rPr>
      <w:rFonts w:eastAsia="楷体_GB2312"/>
      <w:b/>
      <w:kern w:val="44"/>
      <w:sz w:val="44"/>
    </w:rPr>
  </w:style>
  <w:style w:type="paragraph" w:styleId="5">
    <w:name w:val="heading 2"/>
    <w:basedOn w:val="1"/>
    <w:next w:val="1"/>
    <w:qFormat/>
    <w:uiPriority w:val="9"/>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qFormat/>
    <w:uiPriority w:val="9"/>
    <w:pPr>
      <w:ind w:left="220"/>
      <w:outlineLvl w:val="2"/>
    </w:pPr>
    <w:rPr>
      <w:rFonts w:ascii="仿宋" w:hAnsi="仿宋" w:eastAsia="仿宋" w:cs="仿宋"/>
      <w:b/>
      <w:bCs/>
      <w:sz w:val="28"/>
      <w:szCs w:val="28"/>
    </w:rPr>
  </w:style>
  <w:style w:type="paragraph" w:styleId="7">
    <w:name w:val="heading 4"/>
    <w:basedOn w:val="1"/>
    <w:next w:val="1"/>
    <w:qFormat/>
    <w:uiPriority w:val="0"/>
    <w:pPr>
      <w:keepNext/>
      <w:keepLines/>
      <w:spacing w:before="120" w:after="120"/>
      <w:outlineLvl w:val="3"/>
    </w:pPr>
    <w:rPr>
      <w:rFonts w:ascii="Arial" w:hAnsi="Arial" w:eastAsia="黑体"/>
      <w:b/>
      <w:kern w:val="0"/>
      <w:sz w:val="20"/>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8">
    <w:name w:val="Normal Indent"/>
    <w:basedOn w:val="1"/>
    <w:qFormat/>
    <w:uiPriority w:val="0"/>
    <w:pPr>
      <w:adjustRightInd w:val="0"/>
      <w:ind w:firstLine="420"/>
      <w:jc w:val="left"/>
      <w:textAlignment w:val="baseline"/>
    </w:pPr>
    <w:rPr>
      <w:rFonts w:eastAsia="楷体_GB2312"/>
      <w:kern w:val="0"/>
      <w:sz w:val="24"/>
    </w:rPr>
  </w:style>
  <w:style w:type="paragraph" w:styleId="9">
    <w:name w:val="annotation text"/>
    <w:basedOn w:val="1"/>
    <w:qFormat/>
    <w:uiPriority w:val="0"/>
    <w:pPr>
      <w:jc w:val="left"/>
    </w:pPr>
  </w:style>
  <w:style w:type="paragraph" w:styleId="10">
    <w:name w:val="Body Text Indent"/>
    <w:basedOn w:val="1"/>
    <w:next w:val="11"/>
    <w:unhideWhenUsed/>
    <w:qFormat/>
    <w:uiPriority w:val="99"/>
    <w:pPr>
      <w:spacing w:after="120"/>
      <w:ind w:left="420" w:leftChars="200"/>
    </w:pPr>
    <w:rPr>
      <w:szCs w:val="24"/>
    </w:rPr>
  </w:style>
  <w:style w:type="paragraph" w:styleId="11">
    <w:name w:val="envelope return"/>
    <w:basedOn w:val="1"/>
    <w:unhideWhenUsed/>
    <w:qFormat/>
    <w:uiPriority w:val="99"/>
    <w:pPr>
      <w:snapToGrid w:val="0"/>
    </w:pPr>
    <w:rPr>
      <w:rFonts w:ascii="Arial" w:hAnsi="Arial"/>
    </w:rPr>
  </w:style>
  <w:style w:type="paragraph" w:styleId="12">
    <w:name w:val="index 4"/>
    <w:basedOn w:val="1"/>
    <w:next w:val="1"/>
    <w:unhideWhenUsed/>
    <w:qFormat/>
    <w:uiPriority w:val="99"/>
    <w:pPr>
      <w:ind w:left="600" w:leftChars="600"/>
    </w:pPr>
  </w:style>
  <w:style w:type="paragraph" w:styleId="13">
    <w:name w:val="toc 3"/>
    <w:basedOn w:val="1"/>
    <w:next w:val="1"/>
    <w:qFormat/>
    <w:uiPriority w:val="0"/>
    <w:pPr>
      <w:ind w:left="840" w:leftChars="400"/>
    </w:pPr>
  </w:style>
  <w:style w:type="paragraph" w:styleId="14">
    <w:name w:val="Plain Text"/>
    <w:basedOn w:val="1"/>
    <w:qFormat/>
    <w:uiPriority w:val="99"/>
    <w:rPr>
      <w:rFonts w:ascii="宋体" w:hAnsi="Courier New"/>
      <w:kern w:val="0"/>
      <w:sz w:val="20"/>
      <w:szCs w:val="21"/>
    </w:rPr>
  </w:style>
  <w:style w:type="paragraph" w:styleId="15">
    <w:name w:val="Balloon Text"/>
    <w:basedOn w:val="1"/>
    <w:link w:val="61"/>
    <w:qFormat/>
    <w:uiPriority w:val="0"/>
    <w:rPr>
      <w:sz w:val="18"/>
      <w:szCs w:val="18"/>
    </w:rPr>
  </w:style>
  <w:style w:type="paragraph" w:styleId="16">
    <w:name w:val="footer"/>
    <w:basedOn w:val="1"/>
    <w:qFormat/>
    <w:uiPriority w:val="0"/>
    <w:pPr>
      <w:tabs>
        <w:tab w:val="center" w:pos="4153"/>
        <w:tab w:val="right" w:pos="8306"/>
      </w:tabs>
      <w:snapToGrid w:val="0"/>
      <w:jc w:val="left"/>
    </w:pPr>
    <w:rPr>
      <w:kern w:val="0"/>
      <w:sz w:val="18"/>
      <w:szCs w:val="18"/>
    </w:rPr>
  </w:style>
  <w:style w:type="paragraph" w:styleId="17">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pPr>
      <w:adjustRightInd w:val="0"/>
      <w:jc w:val="left"/>
      <w:textAlignment w:val="baseline"/>
    </w:pPr>
    <w:rPr>
      <w:rFonts w:eastAsia="楷体_GB2312"/>
      <w:sz w:val="24"/>
    </w:rPr>
  </w:style>
  <w:style w:type="paragraph" w:styleId="19">
    <w:name w:val="toc 6"/>
    <w:basedOn w:val="1"/>
    <w:next w:val="1"/>
    <w:qFormat/>
    <w:uiPriority w:val="0"/>
    <w:pPr>
      <w:ind w:left="1050"/>
      <w:jc w:val="left"/>
    </w:pPr>
    <w:rPr>
      <w:sz w:val="18"/>
    </w:rPr>
  </w:style>
  <w:style w:type="paragraph" w:styleId="20">
    <w:name w:val="Body Text Indent 3"/>
    <w:basedOn w:val="1"/>
    <w:qFormat/>
    <w:uiPriority w:val="0"/>
    <w:pPr>
      <w:spacing w:line="520" w:lineRule="exact"/>
      <w:ind w:firstLine="539" w:firstLineChars="184"/>
    </w:pPr>
    <w:rPr>
      <w:rFonts w:ascii="宋体"/>
      <w:b/>
      <w:spacing w:val="6"/>
      <w:sz w:val="28"/>
    </w:rPr>
  </w:style>
  <w:style w:type="paragraph" w:styleId="21">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22">
    <w:name w:val="Body Text First Indent"/>
    <w:basedOn w:val="2"/>
    <w:qFormat/>
    <w:uiPriority w:val="0"/>
    <w:pPr>
      <w:spacing w:line="360" w:lineRule="auto"/>
      <w:ind w:firstLine="482"/>
    </w:pPr>
    <w:rPr>
      <w:b/>
      <w:sz w:val="24"/>
    </w:rPr>
  </w:style>
  <w:style w:type="paragraph" w:styleId="23">
    <w:name w:val="Body Text First Indent 2"/>
    <w:basedOn w:val="10"/>
    <w:next w:val="1"/>
    <w:unhideWhenUsed/>
    <w:qFormat/>
    <w:uiPriority w:val="99"/>
    <w:pPr>
      <w:ind w:firstLine="200" w:firstLineChars="200"/>
    </w:pPr>
  </w:style>
  <w:style w:type="table" w:styleId="25">
    <w:name w:val="Table Grid"/>
    <w:basedOn w:val="24"/>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Strong"/>
    <w:qFormat/>
    <w:uiPriority w:val="22"/>
    <w:rPr>
      <w:b/>
      <w:bCs/>
    </w:rPr>
  </w:style>
  <w:style w:type="character" w:styleId="28">
    <w:name w:val="FollowedHyperlink"/>
    <w:qFormat/>
    <w:uiPriority w:val="0"/>
    <w:rPr>
      <w:color w:val="771CAA"/>
      <w:u w:val="none"/>
    </w:rPr>
  </w:style>
  <w:style w:type="character" w:styleId="29">
    <w:name w:val="Emphasis"/>
    <w:qFormat/>
    <w:uiPriority w:val="0"/>
    <w:rPr>
      <w:color w:val="F73131"/>
    </w:rPr>
  </w:style>
  <w:style w:type="character" w:styleId="30">
    <w:name w:val="Hyperlink"/>
    <w:qFormat/>
    <w:uiPriority w:val="0"/>
    <w:rPr>
      <w:color w:val="333333"/>
      <w:u w:val="none"/>
    </w:rPr>
  </w:style>
  <w:style w:type="character" w:styleId="31">
    <w:name w:val="HTML Cite"/>
    <w:qFormat/>
    <w:uiPriority w:val="0"/>
    <w:rPr>
      <w:color w:val="008000"/>
    </w:rPr>
  </w:style>
  <w:style w:type="paragraph" w:customStyle="1" w:styleId="32">
    <w:name w:val="正文1"/>
    <w:basedOn w:val="1"/>
    <w:qFormat/>
    <w:uiPriority w:val="0"/>
    <w:pPr>
      <w:spacing w:line="360" w:lineRule="auto"/>
      <w:ind w:firstLine="361"/>
    </w:pPr>
    <w:rPr>
      <w:rFonts w:ascii="宋体" w:hAnsi="宋体"/>
      <w:szCs w:val="24"/>
    </w:rPr>
  </w:style>
  <w:style w:type="paragraph" w:customStyle="1" w:styleId="33">
    <w:name w:val="正文（缩进）"/>
    <w:basedOn w:val="1"/>
    <w:next w:val="1"/>
    <w:qFormat/>
    <w:uiPriority w:val="0"/>
    <w:pPr>
      <w:ind w:firstLine="480"/>
    </w:pPr>
  </w:style>
  <w:style w:type="paragraph" w:customStyle="1" w:styleId="34">
    <w:name w:val="ListBullet2"/>
    <w:basedOn w:val="1"/>
    <w:qFormat/>
    <w:uiPriority w:val="99"/>
    <w:pPr>
      <w:numPr>
        <w:ilvl w:val="0"/>
        <w:numId w:val="1"/>
      </w:numPr>
    </w:pPr>
  </w:style>
  <w:style w:type="paragraph" w:customStyle="1" w:styleId="35">
    <w:name w:val="无间隔1"/>
    <w:qFormat/>
    <w:uiPriority w:val="99"/>
    <w:pPr>
      <w:widowControl w:val="0"/>
      <w:spacing w:line="300" w:lineRule="auto"/>
    </w:pPr>
    <w:rPr>
      <w:rFonts w:ascii="Times New Roman" w:hAnsi="Times New Roman" w:eastAsia="华文仿宋" w:cs="Times New Roman"/>
      <w:kern w:val="2"/>
      <w:sz w:val="24"/>
      <w:szCs w:val="21"/>
      <w:lang w:val="en-US" w:eastAsia="zh-CN" w:bidi="ar-SA"/>
    </w:rPr>
  </w:style>
  <w:style w:type="paragraph" w:customStyle="1" w:styleId="36">
    <w:name w:val="表格文字"/>
    <w:basedOn w:val="1"/>
    <w:next w:val="2"/>
    <w:qFormat/>
    <w:uiPriority w:val="0"/>
    <w:pPr>
      <w:widowControl/>
      <w:adjustRightInd w:val="0"/>
      <w:spacing w:line="420" w:lineRule="atLeast"/>
      <w:jc w:val="left"/>
      <w:textAlignment w:val="baseline"/>
    </w:pPr>
    <w:rPr>
      <w:szCs w:val="24"/>
    </w:rPr>
  </w:style>
  <w:style w:type="character" w:customStyle="1" w:styleId="37">
    <w:name w:val="页眉 字符"/>
    <w:link w:val="17"/>
    <w:qFormat/>
    <w:uiPriority w:val="0"/>
    <w:rPr>
      <w:rFonts w:ascii="Times New Roman" w:hAnsi="Times New Roman"/>
      <w:kern w:val="2"/>
      <w:sz w:val="18"/>
      <w:szCs w:val="18"/>
    </w:rPr>
  </w:style>
  <w:style w:type="paragraph" w:customStyle="1" w:styleId="38">
    <w:name w:val="正文首行缩进 21"/>
    <w:basedOn w:val="10"/>
    <w:unhideWhenUsed/>
    <w:qFormat/>
    <w:uiPriority w:val="99"/>
    <w:pPr>
      <w:ind w:firstLine="200" w:firstLineChars="200"/>
    </w:pPr>
  </w:style>
  <w:style w:type="paragraph" w:styleId="39">
    <w:name w:val="List Paragraph"/>
    <w:basedOn w:val="1"/>
    <w:qFormat/>
    <w:uiPriority w:val="34"/>
    <w:pPr>
      <w:ind w:firstLine="420" w:firstLineChars="200"/>
    </w:pPr>
    <w:rPr>
      <w:szCs w:val="22"/>
    </w:rPr>
  </w:style>
  <w:style w:type="paragraph" w:customStyle="1" w:styleId="40">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41">
    <w:name w:val="Table Paragraph"/>
    <w:basedOn w:val="1"/>
    <w:qFormat/>
    <w:uiPriority w:val="1"/>
    <w:pPr>
      <w:spacing w:before="31"/>
      <w:ind w:left="107"/>
    </w:pPr>
    <w:rPr>
      <w:rFonts w:ascii="微软雅黑" w:hAnsi="微软雅黑" w:eastAsia="微软雅黑" w:cs="微软雅黑"/>
    </w:rPr>
  </w:style>
  <w:style w:type="table" w:customStyle="1" w:styleId="42">
    <w:name w:val="Table Normal"/>
    <w:unhideWhenUsed/>
    <w:qFormat/>
    <w:uiPriority w:val="2"/>
    <w:tblPr>
      <w:tblCellMar>
        <w:top w:w="0" w:type="dxa"/>
        <w:left w:w="0" w:type="dxa"/>
        <w:bottom w:w="0" w:type="dxa"/>
        <w:right w:w="0" w:type="dxa"/>
      </w:tblCellMar>
    </w:tblPr>
  </w:style>
  <w:style w:type="paragraph" w:customStyle="1" w:styleId="43">
    <w:name w:val="普通正文"/>
    <w:basedOn w:val="1"/>
    <w:qFormat/>
    <w:uiPriority w:val="99"/>
    <w:pPr>
      <w:adjustRightInd w:val="0"/>
      <w:spacing w:before="120" w:after="120" w:line="360" w:lineRule="auto"/>
      <w:ind w:firstLine="480"/>
      <w:jc w:val="left"/>
    </w:pPr>
    <w:rPr>
      <w:rFonts w:ascii="Arial" w:hAnsi="Arial" w:cs="Arial"/>
      <w:kern w:val="0"/>
      <w:sz w:val="24"/>
      <w:szCs w:val="24"/>
    </w:rPr>
  </w:style>
  <w:style w:type="character" w:customStyle="1" w:styleId="44">
    <w:name w:val="font12"/>
    <w:qFormat/>
    <w:uiPriority w:val="0"/>
    <w:rPr>
      <w:rFonts w:hint="default" w:ascii="方正仿宋_GBK" w:hAnsi="方正仿宋_GBK" w:eastAsia="方正仿宋_GBK" w:cs="方正仿宋_GBK"/>
      <w:b/>
      <w:bCs/>
      <w:color w:val="000000"/>
      <w:sz w:val="22"/>
      <w:szCs w:val="22"/>
      <w:u w:val="none"/>
    </w:rPr>
  </w:style>
  <w:style w:type="character" w:customStyle="1" w:styleId="45">
    <w:name w:val="font61"/>
    <w:qFormat/>
    <w:uiPriority w:val="0"/>
    <w:rPr>
      <w:rFonts w:hint="default" w:ascii="方正仿宋_GBK" w:hAnsi="方正仿宋_GBK" w:eastAsia="方正仿宋_GBK" w:cs="方正仿宋_GBK"/>
      <w:color w:val="000000"/>
      <w:sz w:val="22"/>
      <w:szCs w:val="22"/>
      <w:u w:val="none"/>
    </w:rPr>
  </w:style>
  <w:style w:type="character" w:customStyle="1" w:styleId="46">
    <w:name w:val="font71"/>
    <w:qFormat/>
    <w:uiPriority w:val="0"/>
    <w:rPr>
      <w:rFonts w:hint="default" w:ascii="Arial" w:hAnsi="Arial" w:cs="Arial"/>
      <w:color w:val="000000"/>
      <w:sz w:val="22"/>
      <w:szCs w:val="22"/>
      <w:u w:val="none"/>
    </w:rPr>
  </w:style>
  <w:style w:type="character" w:customStyle="1" w:styleId="47">
    <w:name w:val="font21"/>
    <w:qFormat/>
    <w:uiPriority w:val="0"/>
    <w:rPr>
      <w:rFonts w:hint="eastAsia" w:ascii="等线" w:hAnsi="等线" w:eastAsia="等线" w:cs="等线"/>
      <w:color w:val="000000"/>
      <w:sz w:val="22"/>
      <w:szCs w:val="22"/>
      <w:u w:val="none"/>
    </w:rPr>
  </w:style>
  <w:style w:type="character" w:customStyle="1" w:styleId="48">
    <w:name w:val="font31"/>
    <w:qFormat/>
    <w:uiPriority w:val="0"/>
    <w:rPr>
      <w:rFonts w:hint="default" w:ascii="方正仿宋_GBK" w:hAnsi="方正仿宋_GBK" w:eastAsia="方正仿宋_GBK" w:cs="方正仿宋_GBK"/>
      <w:color w:val="000000"/>
      <w:sz w:val="22"/>
      <w:szCs w:val="22"/>
      <w:u w:val="none"/>
    </w:rPr>
  </w:style>
  <w:style w:type="character" w:customStyle="1" w:styleId="49">
    <w:name w:val="font122"/>
    <w:qFormat/>
    <w:uiPriority w:val="0"/>
    <w:rPr>
      <w:rFonts w:hint="eastAsia" w:ascii="等线" w:hAnsi="等线" w:eastAsia="等线" w:cs="等线"/>
      <w:color w:val="000000"/>
      <w:sz w:val="22"/>
      <w:szCs w:val="22"/>
      <w:u w:val="none"/>
    </w:rPr>
  </w:style>
  <w:style w:type="character" w:customStyle="1" w:styleId="50">
    <w:name w:val="font51"/>
    <w:qFormat/>
    <w:uiPriority w:val="0"/>
    <w:rPr>
      <w:rFonts w:hint="default" w:ascii="Arial" w:hAnsi="Arial" w:cs="Arial"/>
      <w:b/>
      <w:bCs/>
      <w:color w:val="000000"/>
      <w:sz w:val="22"/>
      <w:szCs w:val="22"/>
      <w:u w:val="none"/>
    </w:rPr>
  </w:style>
  <w:style w:type="paragraph" w:customStyle="1" w:styleId="51">
    <w:name w:val="ZX-正文"/>
    <w:qFormat/>
    <w:uiPriority w:val="0"/>
    <w:pPr>
      <w:spacing w:beforeLines="50"/>
      <w:ind w:firstLine="480" w:firstLineChars="200"/>
    </w:pPr>
    <w:rPr>
      <w:rFonts w:ascii="Trebuchet MS" w:hAnsi="FuturaA Bk BT" w:eastAsia="宋体" w:cs="Times New Roman"/>
      <w:kern w:val="2"/>
      <w:sz w:val="24"/>
      <w:lang w:val="en-US" w:eastAsia="zh-CN" w:bidi="ar-SA"/>
    </w:rPr>
  </w:style>
  <w:style w:type="character" w:customStyle="1" w:styleId="52">
    <w:name w:val="c-icon"/>
    <w:qFormat/>
    <w:uiPriority w:val="0"/>
  </w:style>
  <w:style w:type="character" w:customStyle="1" w:styleId="53">
    <w:name w:val="ec_d20_recomm_link"/>
    <w:qFormat/>
    <w:uiPriority w:val="0"/>
    <w:rPr>
      <w:shd w:val="clear" w:color="auto" w:fill="F5F5F6"/>
    </w:rPr>
  </w:style>
  <w:style w:type="character" w:customStyle="1" w:styleId="54">
    <w:name w:val="hover28"/>
    <w:qFormat/>
    <w:uiPriority w:val="0"/>
    <w:rPr>
      <w:color w:val="315EFB"/>
    </w:rPr>
  </w:style>
  <w:style w:type="character" w:customStyle="1" w:styleId="55">
    <w:name w:val="hover29"/>
    <w:qFormat/>
    <w:uiPriority w:val="0"/>
  </w:style>
  <w:style w:type="character" w:customStyle="1" w:styleId="56">
    <w:name w:val="c-icon32"/>
    <w:qFormat/>
    <w:uiPriority w:val="0"/>
  </w:style>
  <w:style w:type="paragraph" w:customStyle="1" w:styleId="57">
    <w:name w:val="正文自设"/>
    <w:basedOn w:val="8"/>
    <w:qFormat/>
    <w:uiPriority w:val="0"/>
    <w:pPr>
      <w:spacing w:line="350" w:lineRule="exact"/>
      <w:ind w:firstLine="502" w:firstLineChars="200"/>
    </w:pPr>
    <w:rPr>
      <w:rFonts w:ascii="宋体" w:hAnsi="宋体"/>
      <w:b/>
      <w:bCs/>
      <w:sz w:val="25"/>
      <w:szCs w:val="25"/>
    </w:rPr>
  </w:style>
  <w:style w:type="character" w:customStyle="1" w:styleId="58">
    <w:name w:val="NormalCharacter"/>
    <w:qFormat/>
    <w:uiPriority w:val="0"/>
  </w:style>
  <w:style w:type="paragraph" w:customStyle="1" w:styleId="59">
    <w:name w:val="文档正文"/>
    <w:basedOn w:val="1"/>
    <w:qFormat/>
    <w:uiPriority w:val="0"/>
    <w:pPr>
      <w:adjustRightInd w:val="0"/>
      <w:spacing w:line="312" w:lineRule="atLeast"/>
      <w:ind w:firstLine="567"/>
      <w:textAlignment w:val="baseline"/>
    </w:pPr>
    <w:rPr>
      <w:rFonts w:ascii="长城仿宋" w:eastAsia="长城仿宋"/>
      <w:kern w:val="0"/>
      <w:sz w:val="28"/>
    </w:rPr>
  </w:style>
  <w:style w:type="character" w:customStyle="1" w:styleId="60">
    <w:name w:val="样式 小四 加粗"/>
    <w:basedOn w:val="26"/>
    <w:qFormat/>
    <w:uiPriority w:val="0"/>
    <w:rPr>
      <w:rFonts w:eastAsia="黑体"/>
      <w:b/>
      <w:bCs/>
      <w:sz w:val="24"/>
    </w:rPr>
  </w:style>
  <w:style w:type="character" w:customStyle="1" w:styleId="61">
    <w:name w:val="批注框文本 字符"/>
    <w:basedOn w:val="26"/>
    <w:link w:val="15"/>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091680-8B8E-48DC-9CAF-C420E78C6DC9}">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34</Pages>
  <Words>9868</Words>
  <Characters>10165</Characters>
  <Lines>535</Lines>
  <Paragraphs>513</Paragraphs>
  <TotalTime>3</TotalTime>
  <ScaleCrop>false</ScaleCrop>
  <LinksUpToDate>false</LinksUpToDate>
  <CharactersWithSpaces>19520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2022-10-24T06:54:00Z</dcterms:created>
  <dc:creator>Administrator</dc:creator>
  <cp:lastModifiedBy>L</cp:lastModifiedBy>
  <cp:lastPrinted>2022-08-08T01:26:00Z</cp:lastPrinted>
  <dcterms:modified xsi:type="dcterms:W3CDTF">2025-09-22T07:10:41Z</dcterms:modified>
  <cp:revision>214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EF3C7CA731DD40EA85FCF0166FA14759_13</vt:lpwstr>
  </property>
  <property fmtid="{D5CDD505-2E9C-101B-9397-08002B2CF9AE}" pid="4" name="KSOTemplateDocerSaveRecord">
    <vt:lpwstr>eyJoZGlkIjoiYTRkZGM2OTFkYzE5ZTQyNmYwNDYxNDU2ZTRkOWUzNzMiLCJ1c2VySWQiOiIyMzMwMzQzODcifQ==</vt:lpwstr>
  </property>
</Properties>
</file>